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42" w:type="dxa"/>
        <w:tblInd w:w="-34" w:type="dxa"/>
        <w:tblLayout w:type="fixed"/>
        <w:tblLook w:val="04A0" w:firstRow="1" w:lastRow="0" w:firstColumn="1" w:lastColumn="0" w:noHBand="0" w:noVBand="1"/>
      </w:tblPr>
      <w:tblGrid>
        <w:gridCol w:w="1985"/>
        <w:gridCol w:w="5204"/>
        <w:gridCol w:w="236"/>
        <w:gridCol w:w="2617"/>
      </w:tblGrid>
      <w:tr w:rsidR="002075CA" w:rsidRPr="005E42CC" w14:paraId="189C26A3" w14:textId="77777777" w:rsidTr="00240FC7">
        <w:trPr>
          <w:trHeight w:val="350"/>
        </w:trPr>
        <w:tc>
          <w:tcPr>
            <w:tcW w:w="1985" w:type="dxa"/>
            <w:vMerge w:val="restart"/>
            <w:vAlign w:val="center"/>
          </w:tcPr>
          <w:p w14:paraId="66267E8C" w14:textId="444073BF" w:rsidR="002075CA" w:rsidRPr="005E42CC" w:rsidRDefault="00F741A7" w:rsidP="003D17C6">
            <w:pPr>
              <w:pStyle w:val="Header"/>
              <w:tabs>
                <w:tab w:val="clear" w:pos="4153"/>
                <w:tab w:val="clear" w:pos="8306"/>
              </w:tabs>
              <w:rPr>
                <w:rFonts w:ascii="Calibri" w:hAnsi="Calibri"/>
                <w:b/>
                <w:bCs/>
                <w:sz w:val="22"/>
              </w:rPr>
            </w:pPr>
            <w:r w:rsidRPr="005E42CC">
              <w:rPr>
                <w:noProof/>
                <w:lang w:eastAsia="en-US"/>
              </w:rPr>
              <w:drawing>
                <wp:inline distT="0" distB="0" distL="0" distR="0" wp14:anchorId="77A53E0D" wp14:editId="194A667F">
                  <wp:extent cx="1140737" cy="569853"/>
                  <wp:effectExtent l="0" t="0" r="2540" b="1905"/>
                  <wp:docPr id="1" name="Picture 1" descr="C:\Users\User.U-PC\Desktop\Eaco.png"/>
                  <wp:cNvGraphicFramePr/>
                  <a:graphic xmlns:a="http://schemas.openxmlformats.org/drawingml/2006/main">
                    <a:graphicData uri="http://schemas.openxmlformats.org/drawingml/2006/picture">
                      <pic:pic xmlns:pic="http://schemas.openxmlformats.org/drawingml/2006/picture">
                        <pic:nvPicPr>
                          <pic:cNvPr id="1" name="Picture 1" descr="C:\Users\User.U-PC\Desktop\Eaco.png"/>
                          <pic:cNvPicPr/>
                        </pic:nvPicPr>
                        <pic:blipFill rotWithShape="1">
                          <a:blip r:embed="rId8" cstate="print">
                            <a:extLst>
                              <a:ext uri="{28A0092B-C50C-407E-A947-70E740481C1C}">
                                <a14:useLocalDpi xmlns:a14="http://schemas.microsoft.com/office/drawing/2010/main" val="0"/>
                              </a:ext>
                            </a:extLst>
                          </a:blip>
                          <a:srcRect l="-1" r="58593" b="-928"/>
                          <a:stretch/>
                        </pic:blipFill>
                        <pic:spPr bwMode="auto">
                          <a:xfrm>
                            <a:off x="0" y="0"/>
                            <a:ext cx="1153753" cy="5763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D12DC" w:rsidRPr="005E42CC">
              <w:rPr>
                <w:noProof/>
                <w:lang w:eastAsia="en-US"/>
              </w:rPr>
              <mc:AlternateContent>
                <mc:Choice Requires="wps">
                  <w:drawing>
                    <wp:anchor distT="0" distB="0" distL="114300" distR="114300" simplePos="0" relativeHeight="251656704" behindDoc="0" locked="0" layoutInCell="1" allowOverlap="1" wp14:anchorId="22935758" wp14:editId="6C9989F1">
                      <wp:simplePos x="0" y="0"/>
                      <wp:positionH relativeFrom="column">
                        <wp:posOffset>-12065</wp:posOffset>
                      </wp:positionH>
                      <wp:positionV relativeFrom="paragraph">
                        <wp:posOffset>1372235</wp:posOffset>
                      </wp:positionV>
                      <wp:extent cx="6200775" cy="0"/>
                      <wp:effectExtent l="10160" t="6350" r="889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CE78E" id="_x0000_t32" coordsize="21600,21600" o:spt="32" o:oned="t" path="m,l21600,21600e" filled="f">
                      <v:path arrowok="t" fillok="f" o:connecttype="none"/>
                      <o:lock v:ext="edit" shapetype="t"/>
                    </v:shapetype>
                    <v:shape id="AutoShape 2" o:spid="_x0000_s1026" type="#_x0000_t32" style="position:absolute;margin-left:-.95pt;margin-top:108.05pt;width:488.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">
                      <v:stroke dashstyle="1 1" endcap="round"/>
                    </v:shape>
                  </w:pict>
                </mc:Fallback>
              </mc:AlternateContent>
            </w:r>
          </w:p>
        </w:tc>
        <w:tc>
          <w:tcPr>
            <w:tcW w:w="5204" w:type="dxa"/>
            <w:vMerge w:val="restart"/>
            <w:vAlign w:val="center"/>
          </w:tcPr>
          <w:p w14:paraId="6DD1A39D" w14:textId="1FB23733" w:rsidR="00052A49" w:rsidRPr="005E42CC" w:rsidRDefault="00240FC7" w:rsidP="00FE4C6C">
            <w:pPr>
              <w:pStyle w:val="Heading1"/>
              <w:keepLines w:val="0"/>
              <w:spacing w:before="0"/>
              <w:jc w:val="center"/>
              <w:rPr>
                <w:rFonts w:ascii="Calibri" w:eastAsia="MS Mincho" w:hAnsi="Calibri"/>
                <w:bCs w:val="0"/>
                <w:color w:val="auto"/>
                <w:sz w:val="48"/>
                <w:szCs w:val="48"/>
                <w:lang w:eastAsia="en-GB"/>
              </w:rPr>
            </w:pPr>
            <w:r w:rsidRPr="005E42CC">
              <w:rPr>
                <w:rFonts w:ascii="Calibri" w:eastAsia="MS Mincho" w:hAnsi="Calibri"/>
                <w:bCs w:val="0"/>
                <w:color w:val="auto"/>
                <w:lang w:eastAsia="en-GB"/>
              </w:rPr>
              <w:t xml:space="preserve">Input Contribution to </w:t>
            </w:r>
            <w:r w:rsidR="00F741A7" w:rsidRPr="005E42CC">
              <w:rPr>
                <w:rFonts w:ascii="Calibri" w:eastAsia="MS Mincho" w:hAnsi="Calibri"/>
                <w:bCs w:val="0"/>
                <w:color w:val="auto"/>
                <w:lang w:eastAsia="en-GB"/>
              </w:rPr>
              <w:t xml:space="preserve">EACO </w:t>
            </w:r>
          </w:p>
          <w:p w14:paraId="1E7EA750" w14:textId="4B6E83D6" w:rsidR="00FE4C6C" w:rsidRPr="005E42CC" w:rsidRDefault="00F741A7" w:rsidP="00F741A7">
            <w:pPr>
              <w:jc w:val="center"/>
              <w:rPr>
                <w:lang w:eastAsia="en-GB"/>
              </w:rPr>
            </w:pPr>
            <w:r w:rsidRPr="005E42CC">
              <w:rPr>
                <w:lang w:eastAsia="en-GB"/>
              </w:rPr>
              <w:t>Online meeting 17-18 August 2021</w:t>
            </w:r>
          </w:p>
        </w:tc>
        <w:tc>
          <w:tcPr>
            <w:tcW w:w="236" w:type="dxa"/>
            <w:vAlign w:val="center"/>
          </w:tcPr>
          <w:p w14:paraId="7BE5637A" w14:textId="77777777" w:rsidR="002075CA" w:rsidRPr="005E42CC" w:rsidRDefault="002075CA" w:rsidP="003D17C6">
            <w:pPr>
              <w:jc w:val="right"/>
              <w:rPr>
                <w:sz w:val="16"/>
                <w:szCs w:val="16"/>
              </w:rPr>
            </w:pPr>
          </w:p>
        </w:tc>
        <w:tc>
          <w:tcPr>
            <w:tcW w:w="2617" w:type="dxa"/>
            <w:vAlign w:val="center"/>
          </w:tcPr>
          <w:p w14:paraId="2A264119" w14:textId="77777777" w:rsidR="002075CA" w:rsidRPr="005E42CC" w:rsidRDefault="002075CA" w:rsidP="003D17C6">
            <w:pPr>
              <w:rPr>
                <w:sz w:val="16"/>
                <w:szCs w:val="16"/>
              </w:rPr>
            </w:pPr>
          </w:p>
        </w:tc>
      </w:tr>
      <w:tr w:rsidR="002075CA" w:rsidRPr="005E42CC" w14:paraId="3E7DDF93" w14:textId="77777777" w:rsidTr="00240FC7">
        <w:trPr>
          <w:trHeight w:val="323"/>
        </w:trPr>
        <w:tc>
          <w:tcPr>
            <w:tcW w:w="1985" w:type="dxa"/>
            <w:vMerge/>
            <w:vAlign w:val="center"/>
          </w:tcPr>
          <w:p w14:paraId="39830ACA"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5204" w:type="dxa"/>
            <w:vMerge/>
            <w:vAlign w:val="center"/>
          </w:tcPr>
          <w:p w14:paraId="7341BD79"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236" w:type="dxa"/>
            <w:vAlign w:val="center"/>
          </w:tcPr>
          <w:p w14:paraId="3C0EBFD9" w14:textId="77777777" w:rsidR="002075CA" w:rsidRPr="005E42CC" w:rsidRDefault="002075CA" w:rsidP="003D17C6">
            <w:pPr>
              <w:jc w:val="right"/>
              <w:rPr>
                <w:sz w:val="16"/>
                <w:szCs w:val="16"/>
              </w:rPr>
            </w:pPr>
          </w:p>
        </w:tc>
        <w:tc>
          <w:tcPr>
            <w:tcW w:w="2617" w:type="dxa"/>
            <w:vAlign w:val="center"/>
          </w:tcPr>
          <w:p w14:paraId="1CE2A919" w14:textId="6FE5AF44" w:rsidR="002075CA" w:rsidRPr="005E42CC" w:rsidRDefault="006E17C1" w:rsidP="00CB74D9">
            <w:pPr>
              <w:rPr>
                <w:b/>
                <w:lang w:val="pt-PT"/>
              </w:rPr>
            </w:pPr>
            <w:r w:rsidRPr="005E42CC">
              <w:rPr>
                <w:b/>
                <w:lang w:val="pt-PT"/>
              </w:rPr>
              <w:t>Input Contribution</w:t>
            </w:r>
            <w:r w:rsidR="00240FC7" w:rsidRPr="005E42CC">
              <w:rPr>
                <w:b/>
                <w:lang w:val="pt-PT"/>
              </w:rPr>
              <w:t xml:space="preserve"> </w:t>
            </w:r>
            <w:r w:rsidR="00F741A7" w:rsidRPr="005E42CC">
              <w:rPr>
                <w:b/>
                <w:highlight w:val="yellow"/>
                <w:lang w:val="pt-PT"/>
              </w:rPr>
              <w:t>XX</w:t>
            </w:r>
          </w:p>
        </w:tc>
      </w:tr>
      <w:tr w:rsidR="002075CA" w:rsidRPr="005E42CC" w14:paraId="37197F62" w14:textId="77777777" w:rsidTr="00240FC7">
        <w:trPr>
          <w:trHeight w:val="377"/>
        </w:trPr>
        <w:tc>
          <w:tcPr>
            <w:tcW w:w="1985" w:type="dxa"/>
            <w:vMerge/>
            <w:vAlign w:val="center"/>
          </w:tcPr>
          <w:p w14:paraId="7DF6ECC8"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5204" w:type="dxa"/>
            <w:vMerge/>
            <w:vAlign w:val="center"/>
          </w:tcPr>
          <w:p w14:paraId="04E6A175"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236" w:type="dxa"/>
            <w:vAlign w:val="center"/>
          </w:tcPr>
          <w:p w14:paraId="1ECCAF17" w14:textId="77777777" w:rsidR="002075CA" w:rsidRPr="005E42CC" w:rsidRDefault="002075CA" w:rsidP="003D17C6">
            <w:pPr>
              <w:jc w:val="right"/>
              <w:rPr>
                <w:sz w:val="16"/>
                <w:szCs w:val="16"/>
              </w:rPr>
            </w:pPr>
          </w:p>
        </w:tc>
        <w:tc>
          <w:tcPr>
            <w:tcW w:w="2617" w:type="dxa"/>
            <w:vAlign w:val="center"/>
          </w:tcPr>
          <w:p w14:paraId="2D65D7EE" w14:textId="7B84E629" w:rsidR="002075CA" w:rsidRPr="005E42CC" w:rsidRDefault="005E42CC" w:rsidP="00285609">
            <w:pPr>
              <w:rPr>
                <w:b/>
                <w:lang w:val="pt-PT"/>
              </w:rPr>
            </w:pPr>
            <w:r>
              <w:rPr>
                <w:b/>
                <w:lang w:val="pt-PT"/>
              </w:rPr>
              <w:t>10</w:t>
            </w:r>
            <w:r w:rsidR="00C87D38" w:rsidRPr="005E42CC">
              <w:rPr>
                <w:b/>
                <w:lang w:val="pt-PT"/>
              </w:rPr>
              <w:t>-</w:t>
            </w:r>
            <w:r w:rsidR="00F741A7" w:rsidRPr="005E42CC">
              <w:rPr>
                <w:b/>
                <w:lang w:val="pt-PT"/>
              </w:rPr>
              <w:t>August</w:t>
            </w:r>
            <w:r w:rsidR="00C87D38" w:rsidRPr="005E42CC">
              <w:rPr>
                <w:b/>
                <w:lang w:val="pt-PT"/>
              </w:rPr>
              <w:t>-20</w:t>
            </w:r>
            <w:r w:rsidR="00856F93" w:rsidRPr="005E42CC">
              <w:rPr>
                <w:b/>
                <w:lang w:val="pt-PT"/>
              </w:rPr>
              <w:t>21</w:t>
            </w:r>
          </w:p>
        </w:tc>
      </w:tr>
      <w:tr w:rsidR="002075CA" w:rsidRPr="005E42CC" w14:paraId="0A3BA526" w14:textId="77777777" w:rsidTr="00240FC7">
        <w:trPr>
          <w:trHeight w:val="350"/>
        </w:trPr>
        <w:tc>
          <w:tcPr>
            <w:tcW w:w="1985" w:type="dxa"/>
            <w:vMerge/>
            <w:vAlign w:val="center"/>
          </w:tcPr>
          <w:p w14:paraId="683895BC"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5204" w:type="dxa"/>
            <w:vMerge/>
            <w:vAlign w:val="center"/>
          </w:tcPr>
          <w:p w14:paraId="5DD543E8"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236" w:type="dxa"/>
            <w:vAlign w:val="center"/>
          </w:tcPr>
          <w:p w14:paraId="599B09B9" w14:textId="77777777" w:rsidR="002075CA" w:rsidRPr="005E42CC" w:rsidRDefault="002075CA" w:rsidP="003D17C6">
            <w:pPr>
              <w:jc w:val="right"/>
              <w:rPr>
                <w:sz w:val="16"/>
                <w:szCs w:val="16"/>
              </w:rPr>
            </w:pPr>
          </w:p>
        </w:tc>
        <w:tc>
          <w:tcPr>
            <w:tcW w:w="2617" w:type="dxa"/>
            <w:vAlign w:val="center"/>
          </w:tcPr>
          <w:p w14:paraId="2BD0F45F" w14:textId="77777777" w:rsidR="002075CA" w:rsidRPr="005E42CC" w:rsidRDefault="002075CA" w:rsidP="00706448">
            <w:pPr>
              <w:rPr>
                <w:b/>
                <w:lang w:val="pt-PT"/>
              </w:rPr>
            </w:pPr>
          </w:p>
        </w:tc>
      </w:tr>
      <w:tr w:rsidR="002075CA" w:rsidRPr="005E42CC" w14:paraId="2DA19BCE" w14:textId="77777777" w:rsidTr="00240FC7">
        <w:trPr>
          <w:trHeight w:val="305"/>
        </w:trPr>
        <w:tc>
          <w:tcPr>
            <w:tcW w:w="1985" w:type="dxa"/>
            <w:vMerge/>
            <w:vAlign w:val="center"/>
          </w:tcPr>
          <w:p w14:paraId="2D3B64F8"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5204" w:type="dxa"/>
            <w:vMerge/>
            <w:vAlign w:val="center"/>
          </w:tcPr>
          <w:p w14:paraId="5A9D407B" w14:textId="77777777" w:rsidR="002075CA" w:rsidRPr="005E42CC" w:rsidRDefault="002075CA" w:rsidP="003D17C6">
            <w:pPr>
              <w:pStyle w:val="Header"/>
              <w:tabs>
                <w:tab w:val="clear" w:pos="4153"/>
                <w:tab w:val="clear" w:pos="8306"/>
              </w:tabs>
              <w:jc w:val="center"/>
              <w:rPr>
                <w:rFonts w:ascii="Calibri" w:hAnsi="Calibri"/>
                <w:b/>
                <w:noProof/>
                <w:sz w:val="28"/>
                <w:szCs w:val="28"/>
              </w:rPr>
            </w:pPr>
          </w:p>
        </w:tc>
        <w:tc>
          <w:tcPr>
            <w:tcW w:w="236" w:type="dxa"/>
            <w:vAlign w:val="center"/>
          </w:tcPr>
          <w:p w14:paraId="5DBF85F9" w14:textId="77777777" w:rsidR="002075CA" w:rsidRPr="005E42CC" w:rsidRDefault="002075CA" w:rsidP="003D17C6">
            <w:pPr>
              <w:jc w:val="right"/>
              <w:rPr>
                <w:sz w:val="16"/>
                <w:szCs w:val="16"/>
              </w:rPr>
            </w:pPr>
          </w:p>
        </w:tc>
        <w:tc>
          <w:tcPr>
            <w:tcW w:w="2617" w:type="dxa"/>
            <w:vAlign w:val="center"/>
          </w:tcPr>
          <w:p w14:paraId="178392C0" w14:textId="77777777" w:rsidR="002075CA" w:rsidRPr="005E42CC" w:rsidRDefault="002075CA" w:rsidP="003D17C6">
            <w:pPr>
              <w:rPr>
                <w:b/>
                <w:sz w:val="16"/>
                <w:szCs w:val="16"/>
                <w:lang w:val="pt-PT"/>
              </w:rPr>
            </w:pPr>
          </w:p>
        </w:tc>
      </w:tr>
      <w:tr w:rsidR="002075CA" w:rsidRPr="005E42CC" w14:paraId="4F50B814" w14:textId="77777777" w:rsidTr="00240FC7">
        <w:tc>
          <w:tcPr>
            <w:tcW w:w="10042" w:type="dxa"/>
            <w:gridSpan w:val="4"/>
          </w:tcPr>
          <w:tbl>
            <w:tblPr>
              <w:tblW w:w="9781" w:type="dxa"/>
              <w:tblLayout w:type="fixed"/>
              <w:tblLook w:val="04A0" w:firstRow="1" w:lastRow="0" w:firstColumn="1" w:lastColumn="0" w:noHBand="0" w:noVBand="1"/>
            </w:tblPr>
            <w:tblGrid>
              <w:gridCol w:w="9781"/>
            </w:tblGrid>
            <w:tr w:rsidR="002075CA" w:rsidRPr="005E42CC" w14:paraId="3C04138D" w14:textId="77777777" w:rsidTr="003D17C6">
              <w:tc>
                <w:tcPr>
                  <w:tcW w:w="9781" w:type="dxa"/>
                </w:tcPr>
                <w:p w14:paraId="2BE2EF53" w14:textId="46C19E34" w:rsidR="002075CA" w:rsidRPr="005E42CC" w:rsidRDefault="006D12DC" w:rsidP="00A91E47">
                  <w:pPr>
                    <w:jc w:val="center"/>
                    <w:rPr>
                      <w:rFonts w:cs="Tahoma"/>
                      <w:b/>
                      <w:sz w:val="28"/>
                      <w:szCs w:val="28"/>
                      <w:lang w:val="en-GB"/>
                    </w:rPr>
                  </w:pPr>
                  <w:r w:rsidRPr="005E42CC">
                    <w:rPr>
                      <w:noProof/>
                      <w:sz w:val="28"/>
                      <w:szCs w:val="28"/>
                    </w:rPr>
                    <mc:AlternateContent>
                      <mc:Choice Requires="wps">
                        <w:drawing>
                          <wp:anchor distT="0" distB="0" distL="114300" distR="114300" simplePos="0" relativeHeight="251659776" behindDoc="0" locked="0" layoutInCell="1" allowOverlap="1" wp14:anchorId="24ED5861" wp14:editId="76A2629E">
                            <wp:simplePos x="0" y="0"/>
                            <wp:positionH relativeFrom="column">
                              <wp:posOffset>-132715</wp:posOffset>
                            </wp:positionH>
                            <wp:positionV relativeFrom="paragraph">
                              <wp:posOffset>254000</wp:posOffset>
                            </wp:positionV>
                            <wp:extent cx="6200775" cy="0"/>
                            <wp:effectExtent l="5715" t="6350" r="13335" b="127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33831" id="AutoShape 3" o:spid="_x0000_s1026" type="#_x0000_t32" style="position:absolute;margin-left:-10.45pt;margin-top:20pt;width:488.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">
                            <v:stroke dashstyle="1 1" endcap="round"/>
                          </v:shape>
                        </w:pict>
                      </mc:Fallback>
                    </mc:AlternateContent>
                  </w:r>
                  <w:r w:rsidR="005E42CC" w:rsidRPr="005E42CC">
                    <w:rPr>
                      <w:rFonts w:cs="Tahoma"/>
                      <w:b/>
                      <w:sz w:val="28"/>
                      <w:szCs w:val="28"/>
                      <w:lang w:val="en-GB"/>
                    </w:rPr>
                    <w:t>Kenya</w:t>
                  </w:r>
                </w:p>
              </w:tc>
            </w:tr>
          </w:tbl>
          <w:p w14:paraId="036EDE3F" w14:textId="77777777" w:rsidR="002075CA" w:rsidRPr="005E42CC" w:rsidRDefault="002075CA" w:rsidP="003D17C6">
            <w:pPr>
              <w:jc w:val="center"/>
              <w:rPr>
                <w:rFonts w:cs="Tahoma"/>
                <w:b/>
              </w:rPr>
            </w:pPr>
          </w:p>
        </w:tc>
      </w:tr>
    </w:tbl>
    <w:p w14:paraId="66B2C303" w14:textId="160BE424" w:rsidR="009C4395" w:rsidRPr="005E42CC" w:rsidRDefault="009C4395" w:rsidP="0002185E">
      <w:pPr>
        <w:jc w:val="center"/>
        <w:rPr>
          <w:rFonts w:cs="Calibri"/>
          <w:b/>
          <w:spacing w:val="60"/>
          <w:sz w:val="32"/>
          <w:szCs w:val="32"/>
        </w:rPr>
      </w:pPr>
      <w:r w:rsidRPr="005E42CC">
        <w:rPr>
          <w:rFonts w:cs="Calibri"/>
          <w:b/>
          <w:spacing w:val="60"/>
          <w:sz w:val="32"/>
          <w:szCs w:val="32"/>
        </w:rPr>
        <w:t xml:space="preserve">Agenda Item </w:t>
      </w:r>
      <w:r w:rsidR="003A2D8D" w:rsidRPr="005E42CC">
        <w:rPr>
          <w:rFonts w:cs="Calibri"/>
          <w:b/>
          <w:spacing w:val="60"/>
          <w:sz w:val="32"/>
          <w:szCs w:val="32"/>
        </w:rP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3"/>
      </w:tblGrid>
      <w:tr w:rsidR="009C4395" w:rsidRPr="005E42CC" w14:paraId="02C465F2" w14:textId="77777777" w:rsidTr="00CB2752">
        <w:tc>
          <w:tcPr>
            <w:tcW w:w="9903" w:type="dxa"/>
          </w:tcPr>
          <w:p w14:paraId="72F02B92" w14:textId="77777777" w:rsidR="009C4395" w:rsidRPr="005E42CC" w:rsidRDefault="00A853DF" w:rsidP="00F72AC9">
            <w:pPr>
              <w:spacing w:after="0" w:line="240" w:lineRule="auto"/>
              <w:rPr>
                <w:rFonts w:cs="Calibri"/>
                <w:b/>
                <w:color w:val="00B050"/>
                <w:spacing w:val="60"/>
                <w:sz w:val="20"/>
                <w:szCs w:val="20"/>
              </w:rPr>
            </w:pPr>
            <w:r w:rsidRPr="005E42CC">
              <w:rPr>
                <w:rFonts w:cs="Calibri"/>
                <w:b/>
                <w:color w:val="00B050"/>
                <w:spacing w:val="60"/>
                <w:sz w:val="20"/>
                <w:szCs w:val="20"/>
              </w:rPr>
              <w:t xml:space="preserve">Part A: </w:t>
            </w:r>
            <w:r w:rsidR="009C4395" w:rsidRPr="005E42CC">
              <w:rPr>
                <w:rFonts w:cs="Calibri"/>
                <w:b/>
                <w:color w:val="00B050"/>
                <w:spacing w:val="60"/>
                <w:sz w:val="20"/>
                <w:szCs w:val="20"/>
              </w:rPr>
              <w:t>Description</w:t>
            </w:r>
          </w:p>
        </w:tc>
      </w:tr>
      <w:tr w:rsidR="009C4395" w:rsidRPr="005E42CC" w14:paraId="56052118" w14:textId="77777777" w:rsidTr="00CB2752">
        <w:trPr>
          <w:trHeight w:val="647"/>
        </w:trPr>
        <w:tc>
          <w:tcPr>
            <w:tcW w:w="9903" w:type="dxa"/>
          </w:tcPr>
          <w:p w14:paraId="348236DD" w14:textId="77777777" w:rsidR="00FB21B7" w:rsidRPr="005E42CC" w:rsidRDefault="00FB21B7"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r w:rsidRPr="005E42CC">
              <w:rPr>
                <w:rFonts w:eastAsia="Times New Roman" w:cs="Calibri"/>
                <w:lang w:val="en-GB"/>
              </w:rPr>
              <w:t xml:space="preserve">In accordance to Resolution </w:t>
            </w:r>
            <w:r w:rsidRPr="005E42CC">
              <w:rPr>
                <w:rFonts w:eastAsia="Times New Roman" w:cs="Calibri"/>
                <w:b/>
                <w:bCs/>
                <w:lang w:val="en-GB"/>
              </w:rPr>
              <w:t>246 (WRC-19)</w:t>
            </w:r>
            <w:r w:rsidRPr="005E42CC">
              <w:rPr>
                <w:rFonts w:eastAsia="Times New Roman" w:cs="Calibri"/>
                <w:lang w:val="en-GB"/>
              </w:rPr>
              <w:t xml:space="preserve"> the aim of Agenda Item 1.3 is to conduct “Studies to consider possible allocation of the frequency band 3 600-3 800 MHz to the mobile, except aeronautical mobile service, on a primary basis within Region 1.”</w:t>
            </w:r>
          </w:p>
          <w:p w14:paraId="027F8B1D" w14:textId="77777777" w:rsidR="00FB21B7" w:rsidRPr="005E42CC" w:rsidRDefault="00FB21B7"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r w:rsidRPr="005E42CC">
              <w:rPr>
                <w:rFonts w:eastAsia="Times New Roman" w:cs="Calibri"/>
                <w:lang w:val="en-GB"/>
              </w:rPr>
              <w:t xml:space="preserve">Resolution </w:t>
            </w:r>
            <w:r w:rsidRPr="005E42CC">
              <w:rPr>
                <w:rFonts w:eastAsia="Times New Roman" w:cs="Calibri"/>
                <w:b/>
                <w:bCs/>
                <w:lang w:val="en-GB"/>
              </w:rPr>
              <w:t>246 (WRC-19)</w:t>
            </w:r>
            <w:r w:rsidRPr="005E42CC">
              <w:rPr>
                <w:rFonts w:eastAsia="Times New Roman" w:cs="Calibri"/>
                <w:lang w:val="en-GB"/>
              </w:rPr>
              <w:t xml:space="preserve"> resolves to invite the ITU Radiocommunication Sector (ITU-R) to conduct sharing and compatibility studies in time for World Radiocommunication conference 2023 (WRC-23) between the mobile service and other services allocated on a primary basis within the frequency band 3 600-3 800 MHz and adjacent frequency bands in </w:t>
            </w:r>
            <w:proofErr w:type="gramStart"/>
            <w:r w:rsidRPr="005E42CC">
              <w:rPr>
                <w:rFonts w:eastAsia="Times New Roman" w:cs="Calibri"/>
                <w:lang w:val="en-GB"/>
              </w:rPr>
              <w:t>Region</w:t>
            </w:r>
            <w:proofErr w:type="gramEnd"/>
            <w:r w:rsidRPr="005E42CC">
              <w:rPr>
                <w:rFonts w:eastAsia="Times New Roman" w:cs="Calibri"/>
                <w:lang w:val="en-GB"/>
              </w:rPr>
              <w:t xml:space="preserve"> 1, as appropriate.  </w:t>
            </w:r>
          </w:p>
          <w:p w14:paraId="72088E4E" w14:textId="77777777" w:rsidR="00FB21B7" w:rsidRPr="005E42CC" w:rsidRDefault="00FB21B7"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r w:rsidRPr="005E42CC">
              <w:rPr>
                <w:rFonts w:eastAsia="Times New Roman" w:cs="Calibri"/>
                <w:lang w:val="en-GB"/>
              </w:rPr>
              <w:t xml:space="preserve">Resolution </w:t>
            </w:r>
            <w:r w:rsidRPr="005E42CC">
              <w:rPr>
                <w:rFonts w:eastAsia="Times New Roman" w:cs="Calibri"/>
                <w:b/>
                <w:bCs/>
                <w:lang w:val="en-GB"/>
              </w:rPr>
              <w:t>246 (WRC-19)</w:t>
            </w:r>
            <w:r w:rsidRPr="005E42CC">
              <w:rPr>
                <w:rFonts w:eastAsia="Times New Roman" w:cs="Calibri"/>
                <w:lang w:val="en-GB"/>
              </w:rPr>
              <w:t xml:space="preserve"> recognizes that for African countries, especially those in tropical areas, the operations of FSS systems are more reliable for use in at C-band frequencies (3 400-4 200 MHz), rather than in higher frequency bands.</w:t>
            </w:r>
          </w:p>
          <w:p w14:paraId="4D483E13" w14:textId="77777777" w:rsidR="00FB21B7" w:rsidRPr="005E42CC" w:rsidRDefault="00FB21B7"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r w:rsidRPr="005E42CC">
              <w:rPr>
                <w:rFonts w:eastAsia="Times New Roman" w:cs="Calibri"/>
                <w:lang w:val="en-GB"/>
              </w:rPr>
              <w:t xml:space="preserve">Resolution </w:t>
            </w:r>
            <w:r w:rsidRPr="005E42CC">
              <w:rPr>
                <w:rFonts w:eastAsia="Times New Roman" w:cs="Calibri"/>
                <w:b/>
                <w:bCs/>
                <w:lang w:val="en-GB"/>
              </w:rPr>
              <w:t>246 (WRC-19)</w:t>
            </w:r>
            <w:r w:rsidRPr="005E42CC">
              <w:rPr>
                <w:rFonts w:eastAsia="Times New Roman" w:cs="Calibri"/>
                <w:lang w:val="en-GB"/>
              </w:rPr>
              <w:t xml:space="preserve"> also calls </w:t>
            </w:r>
            <w:r w:rsidRPr="005E42CC">
              <w:rPr>
                <w:rFonts w:eastAsia="Times New Roman" w:cs="Calibri"/>
                <w:b/>
                <w:bCs/>
                <w:lang w:val="en-GB"/>
              </w:rPr>
              <w:t>to ensure protection of those services to which the frequency band is allocated on a primary basis and not impose undue constraints on the existing services and their future development.</w:t>
            </w:r>
            <w:r w:rsidRPr="005E42CC">
              <w:rPr>
                <w:rFonts w:eastAsia="Times New Roman" w:cs="Calibri"/>
                <w:lang w:val="en-GB"/>
              </w:rPr>
              <w:t xml:space="preserve"> </w:t>
            </w:r>
          </w:p>
          <w:p w14:paraId="3F7D849A" w14:textId="74A1184E" w:rsidR="00FB21B7" w:rsidRPr="005E42CC" w:rsidRDefault="00FB21B7"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r w:rsidRPr="005E42CC">
              <w:rPr>
                <w:rFonts w:eastAsia="Times New Roman" w:cs="Calibri"/>
                <w:lang w:val="en-GB"/>
              </w:rPr>
              <w:t xml:space="preserve">It is important to note that this agenda item only seeks to upgrade the existing secondary mobile allocation in the frequency band 3 600-3 800 MHz to primary in </w:t>
            </w:r>
            <w:proofErr w:type="gramStart"/>
            <w:r w:rsidR="005E42CC">
              <w:rPr>
                <w:rFonts w:eastAsia="Times New Roman" w:cs="Calibri"/>
                <w:lang w:val="en-GB"/>
              </w:rPr>
              <w:t>R</w:t>
            </w:r>
            <w:r w:rsidR="005E42CC" w:rsidRPr="005E42CC">
              <w:rPr>
                <w:rFonts w:eastAsia="Times New Roman" w:cs="Calibri"/>
                <w:lang w:val="en-GB"/>
              </w:rPr>
              <w:t>egion</w:t>
            </w:r>
            <w:proofErr w:type="gramEnd"/>
            <w:r w:rsidRPr="005E42CC">
              <w:rPr>
                <w:rFonts w:eastAsia="Times New Roman" w:cs="Calibri"/>
                <w:lang w:val="en-GB"/>
              </w:rPr>
              <w:t xml:space="preserve"> 1. </w:t>
            </w:r>
          </w:p>
          <w:p w14:paraId="41DA73DC" w14:textId="77777777" w:rsidR="001101D3" w:rsidRPr="005E42CC" w:rsidRDefault="001101D3" w:rsidP="00362351">
            <w:pPr>
              <w:tabs>
                <w:tab w:val="left" w:pos="1134"/>
                <w:tab w:val="left" w:pos="1871"/>
                <w:tab w:val="left" w:pos="2268"/>
              </w:tabs>
              <w:overflowPunct w:val="0"/>
              <w:autoSpaceDE w:val="0"/>
              <w:autoSpaceDN w:val="0"/>
              <w:adjustRightInd w:val="0"/>
              <w:spacing w:after="0" w:line="240" w:lineRule="auto"/>
              <w:jc w:val="both"/>
              <w:rPr>
                <w:rFonts w:eastAsia="Times New Roman" w:cs="Calibri"/>
                <w:lang w:val="en-GB"/>
              </w:rPr>
            </w:pPr>
          </w:p>
          <w:p w14:paraId="7DAC4CA4" w14:textId="381DF9FD" w:rsidR="00362351" w:rsidRPr="005E42CC" w:rsidRDefault="00362351" w:rsidP="0072793B">
            <w:pPr>
              <w:tabs>
                <w:tab w:val="left" w:pos="1134"/>
                <w:tab w:val="left" w:pos="1871"/>
                <w:tab w:val="left" w:pos="2268"/>
              </w:tabs>
              <w:overflowPunct w:val="0"/>
              <w:autoSpaceDE w:val="0"/>
              <w:autoSpaceDN w:val="0"/>
              <w:adjustRightInd w:val="0"/>
              <w:spacing w:after="0" w:line="240" w:lineRule="auto"/>
              <w:jc w:val="both"/>
              <w:rPr>
                <w:rFonts w:cs="Calibri"/>
                <w:sz w:val="20"/>
                <w:szCs w:val="20"/>
                <w:lang w:val="en-GB"/>
              </w:rPr>
            </w:pPr>
          </w:p>
        </w:tc>
      </w:tr>
      <w:tr w:rsidR="009C4395" w:rsidRPr="005E42CC" w14:paraId="547F8634" w14:textId="77777777" w:rsidTr="00CB2752">
        <w:tc>
          <w:tcPr>
            <w:tcW w:w="9903" w:type="dxa"/>
          </w:tcPr>
          <w:p w14:paraId="1DD376C1" w14:textId="77777777" w:rsidR="009C4395" w:rsidRPr="005E42CC" w:rsidRDefault="00A853DF" w:rsidP="00A853DF">
            <w:pPr>
              <w:spacing w:after="0" w:line="240" w:lineRule="auto"/>
              <w:rPr>
                <w:rFonts w:cs="Calibri"/>
                <w:b/>
                <w:color w:val="00B050"/>
                <w:spacing w:val="60"/>
                <w:sz w:val="20"/>
                <w:szCs w:val="20"/>
              </w:rPr>
            </w:pPr>
            <w:r w:rsidRPr="005E42CC">
              <w:rPr>
                <w:rFonts w:cs="Calibri"/>
                <w:b/>
                <w:color w:val="00B050"/>
                <w:spacing w:val="60"/>
                <w:sz w:val="20"/>
                <w:szCs w:val="20"/>
              </w:rPr>
              <w:t xml:space="preserve">Part B: </w:t>
            </w:r>
            <w:r w:rsidR="009C4395" w:rsidRPr="005E42CC">
              <w:rPr>
                <w:rFonts w:cs="Calibri"/>
                <w:b/>
                <w:color w:val="00B050"/>
                <w:spacing w:val="60"/>
                <w:sz w:val="20"/>
                <w:szCs w:val="20"/>
              </w:rPr>
              <w:t>Key Elements – the notables</w:t>
            </w:r>
          </w:p>
        </w:tc>
      </w:tr>
      <w:tr w:rsidR="009C4395" w:rsidRPr="005E42CC" w14:paraId="7DF134DB" w14:textId="77777777" w:rsidTr="00CB2752">
        <w:trPr>
          <w:trHeight w:val="638"/>
        </w:trPr>
        <w:tc>
          <w:tcPr>
            <w:tcW w:w="9903" w:type="dxa"/>
          </w:tcPr>
          <w:p w14:paraId="78298C44" w14:textId="22B9B3B4" w:rsidR="00FB21B7" w:rsidRPr="005E42CC" w:rsidRDefault="005E42CC" w:rsidP="00362351">
            <w:pPr>
              <w:autoSpaceDE w:val="0"/>
              <w:autoSpaceDN w:val="0"/>
              <w:adjustRightInd w:val="0"/>
              <w:spacing w:after="0" w:line="240" w:lineRule="auto"/>
              <w:jc w:val="both"/>
              <w:rPr>
                <w:rFonts w:cs="Calibri"/>
                <w:lang w:val="en-GB"/>
              </w:rPr>
            </w:pPr>
            <w:r>
              <w:rPr>
                <w:rFonts w:cs="Calibri"/>
                <w:lang w:val="en-GB"/>
              </w:rPr>
              <w:t>k</w:t>
            </w:r>
          </w:p>
          <w:p w14:paraId="6CF6F719" w14:textId="77777777" w:rsidR="00FB21B7" w:rsidRPr="005E42CC" w:rsidRDefault="00FB21B7" w:rsidP="00362351">
            <w:pPr>
              <w:autoSpaceDE w:val="0"/>
              <w:autoSpaceDN w:val="0"/>
              <w:adjustRightInd w:val="0"/>
              <w:spacing w:after="0" w:line="240" w:lineRule="auto"/>
              <w:jc w:val="both"/>
              <w:rPr>
                <w:rFonts w:cs="Calibri"/>
                <w:lang w:val="en-GB"/>
              </w:rPr>
            </w:pPr>
          </w:p>
          <w:p w14:paraId="59727796" w14:textId="77777777" w:rsidR="00FB21B7" w:rsidRPr="005E42CC" w:rsidRDefault="00FB21B7" w:rsidP="00362351">
            <w:pPr>
              <w:autoSpaceDE w:val="0"/>
              <w:autoSpaceDN w:val="0"/>
              <w:adjustRightInd w:val="0"/>
              <w:spacing w:after="0" w:line="240" w:lineRule="auto"/>
              <w:jc w:val="both"/>
              <w:rPr>
                <w:rFonts w:cs="Calibri"/>
                <w:lang w:val="en-GB"/>
              </w:rPr>
            </w:pPr>
            <w:r w:rsidRPr="005E42CC">
              <w:rPr>
                <w:rFonts w:cs="Calibri"/>
                <w:lang w:val="en-GB"/>
              </w:rPr>
              <w:t xml:space="preserve">However, currently, some administrations in </w:t>
            </w:r>
            <w:proofErr w:type="gramStart"/>
            <w:r w:rsidRPr="005E42CC">
              <w:rPr>
                <w:rFonts w:cs="Calibri"/>
                <w:lang w:val="en-GB"/>
              </w:rPr>
              <w:t>Region</w:t>
            </w:r>
            <w:proofErr w:type="gramEnd"/>
            <w:r w:rsidRPr="005E42CC">
              <w:rPr>
                <w:rFonts w:cs="Calibri"/>
                <w:lang w:val="en-GB"/>
              </w:rPr>
              <w:t xml:space="preserve"> 1 especially countries found in European Union are currently using the frequency band 3 600-3 800 MHz, or part of that frequency band, for the mobile service (for example International Mobile Telecommunications (IMT) implementation), which terrestrial systems of the mobile service are intended to provide telecommunication services on a worldwide scale, regardless of location. </w:t>
            </w:r>
          </w:p>
          <w:p w14:paraId="176298ED" w14:textId="77777777" w:rsidR="00FB21B7" w:rsidRPr="005E42CC" w:rsidRDefault="00FB21B7" w:rsidP="00362351">
            <w:pPr>
              <w:autoSpaceDE w:val="0"/>
              <w:autoSpaceDN w:val="0"/>
              <w:adjustRightInd w:val="0"/>
              <w:spacing w:after="0" w:line="240" w:lineRule="auto"/>
              <w:jc w:val="both"/>
              <w:rPr>
                <w:rFonts w:cs="Calibri"/>
                <w:lang w:val="en-GB"/>
              </w:rPr>
            </w:pPr>
          </w:p>
          <w:p w14:paraId="3C9170FF" w14:textId="77777777" w:rsidR="00FB21B7" w:rsidRPr="005E42CC" w:rsidRDefault="00FB21B7" w:rsidP="00362351">
            <w:pPr>
              <w:autoSpaceDE w:val="0"/>
              <w:autoSpaceDN w:val="0"/>
              <w:adjustRightInd w:val="0"/>
              <w:spacing w:after="0" w:line="240" w:lineRule="auto"/>
              <w:jc w:val="both"/>
              <w:rPr>
                <w:rFonts w:cs="Calibri"/>
                <w:lang w:val="en-GB"/>
              </w:rPr>
            </w:pPr>
            <w:r w:rsidRPr="005E42CC">
              <w:rPr>
                <w:rFonts w:cs="Calibri"/>
                <w:lang w:val="en-GB"/>
              </w:rPr>
              <w:t xml:space="preserve">Meanwhile, it is necessary to protect existing services when considering possible additional allocation to any service in any frequency band. </w:t>
            </w:r>
          </w:p>
          <w:p w14:paraId="32A8C99E" w14:textId="77777777" w:rsidR="00FB21B7" w:rsidRPr="005E42CC" w:rsidRDefault="00FB21B7" w:rsidP="00362351">
            <w:pPr>
              <w:autoSpaceDE w:val="0"/>
              <w:autoSpaceDN w:val="0"/>
              <w:adjustRightInd w:val="0"/>
              <w:spacing w:after="0" w:line="240" w:lineRule="auto"/>
              <w:jc w:val="both"/>
              <w:rPr>
                <w:rFonts w:cs="Calibri"/>
                <w:lang w:val="en-GB"/>
              </w:rPr>
            </w:pPr>
          </w:p>
          <w:p w14:paraId="104B8A38" w14:textId="77777777" w:rsidR="00FB21B7" w:rsidRPr="005E42CC" w:rsidRDefault="00FB21B7" w:rsidP="00362351">
            <w:pPr>
              <w:autoSpaceDE w:val="0"/>
              <w:autoSpaceDN w:val="0"/>
              <w:adjustRightInd w:val="0"/>
              <w:spacing w:after="0" w:line="240" w:lineRule="auto"/>
              <w:jc w:val="both"/>
              <w:rPr>
                <w:rFonts w:cs="Calibri"/>
                <w:lang w:val="en-GB"/>
              </w:rPr>
            </w:pPr>
            <w:r w:rsidRPr="005E42CC">
              <w:rPr>
                <w:rFonts w:cs="Calibri"/>
                <w:lang w:val="en-GB"/>
              </w:rPr>
              <w:t xml:space="preserve">WRC-23 agenda item 1.3 is to consider primary allocation of the band 3 600-3 800 MHz to mobile service within </w:t>
            </w:r>
            <w:proofErr w:type="gramStart"/>
            <w:r w:rsidRPr="005E42CC">
              <w:rPr>
                <w:rFonts w:cs="Calibri"/>
                <w:lang w:val="en-GB"/>
              </w:rPr>
              <w:t>Region</w:t>
            </w:r>
            <w:proofErr w:type="gramEnd"/>
            <w:r w:rsidRPr="005E42CC">
              <w:rPr>
                <w:rFonts w:cs="Calibri"/>
                <w:lang w:val="en-GB"/>
              </w:rPr>
              <w:t xml:space="preserve"> 1 and take appropriate regulatory actions, in accordance with Resolution </w:t>
            </w:r>
            <w:r w:rsidRPr="005E42CC">
              <w:rPr>
                <w:rFonts w:cs="Calibri"/>
                <w:b/>
                <w:bCs/>
                <w:lang w:val="en-GB"/>
              </w:rPr>
              <w:t>246 (WRC-19)</w:t>
            </w:r>
            <w:r w:rsidRPr="005E42CC">
              <w:rPr>
                <w:rFonts w:cs="Calibri"/>
                <w:lang w:val="en-GB"/>
              </w:rPr>
              <w:t xml:space="preserve">. Resolution </w:t>
            </w:r>
            <w:r w:rsidRPr="005E42CC">
              <w:rPr>
                <w:rFonts w:cs="Calibri"/>
                <w:b/>
                <w:bCs/>
                <w:lang w:val="en-GB"/>
              </w:rPr>
              <w:t>246 (WRC-19)</w:t>
            </w:r>
            <w:r w:rsidRPr="005E42CC">
              <w:rPr>
                <w:rFonts w:cs="Calibri"/>
                <w:lang w:val="en-GB"/>
              </w:rPr>
              <w:t xml:space="preserve"> resolves to invite the ITU Radiocommunication Sector:</w:t>
            </w:r>
          </w:p>
          <w:p w14:paraId="3D023553" w14:textId="77777777" w:rsidR="00FB21B7" w:rsidRPr="005E42CC" w:rsidRDefault="00FB21B7" w:rsidP="00362351">
            <w:pPr>
              <w:autoSpaceDE w:val="0"/>
              <w:autoSpaceDN w:val="0"/>
              <w:adjustRightInd w:val="0"/>
              <w:spacing w:after="0" w:line="240" w:lineRule="auto"/>
              <w:jc w:val="both"/>
              <w:rPr>
                <w:rFonts w:cs="Calibri"/>
                <w:sz w:val="20"/>
                <w:szCs w:val="20"/>
                <w:lang w:val="en-GB"/>
              </w:rPr>
            </w:pPr>
          </w:p>
          <w:p w14:paraId="18C486B9" w14:textId="0EACAEDE" w:rsidR="00FB21B7" w:rsidRPr="005E42CC" w:rsidRDefault="00FB21B7" w:rsidP="00362351">
            <w:pPr>
              <w:autoSpaceDE w:val="0"/>
              <w:autoSpaceDN w:val="0"/>
              <w:adjustRightInd w:val="0"/>
              <w:spacing w:after="0" w:line="240" w:lineRule="auto"/>
              <w:jc w:val="both"/>
              <w:rPr>
                <w:rFonts w:cs="Calibri"/>
                <w:sz w:val="20"/>
                <w:szCs w:val="20"/>
                <w:lang w:val="en-GB"/>
              </w:rPr>
            </w:pPr>
            <w:r w:rsidRPr="005E42CC">
              <w:rPr>
                <w:rFonts w:cs="Calibri"/>
                <w:sz w:val="20"/>
                <w:szCs w:val="20"/>
                <w:lang w:val="en-GB"/>
              </w:rPr>
              <w:t>“To conduct sharing and compatibility studies in time for WRC-23 between the mobile service and other service allocated on a primary basis within the frequency band 3 600</w:t>
            </w:r>
            <w:r w:rsidRPr="005E42CC">
              <w:rPr>
                <w:rFonts w:cs="Calibri"/>
                <w:sz w:val="20"/>
                <w:szCs w:val="20"/>
                <w:lang w:val="en-GB"/>
              </w:rPr>
              <w:noBreakHyphen/>
              <w:t xml:space="preserve">3 800 MHz and adjacent frequency bands in </w:t>
            </w:r>
            <w:proofErr w:type="gramStart"/>
            <w:r w:rsidRPr="005E42CC">
              <w:rPr>
                <w:rFonts w:cs="Calibri"/>
                <w:sz w:val="20"/>
                <w:szCs w:val="20"/>
                <w:lang w:val="en-GB"/>
              </w:rPr>
              <w:t>Region</w:t>
            </w:r>
            <w:proofErr w:type="gramEnd"/>
            <w:r w:rsidRPr="005E42CC">
              <w:rPr>
                <w:rFonts w:cs="Calibri"/>
                <w:sz w:val="20"/>
                <w:szCs w:val="20"/>
                <w:lang w:val="en-GB"/>
              </w:rPr>
              <w:t xml:space="preserve"> 1, as appropriate, to ensure protection of those services to which the frequency band is allocated on a primary basis and not impose undue constraints on the existing services and their future development". </w:t>
            </w:r>
          </w:p>
          <w:p w14:paraId="11BD2E47" w14:textId="21A5130A" w:rsidR="00876855" w:rsidRPr="005E42CC" w:rsidRDefault="00876855" w:rsidP="00362351">
            <w:pPr>
              <w:autoSpaceDE w:val="0"/>
              <w:autoSpaceDN w:val="0"/>
              <w:adjustRightInd w:val="0"/>
              <w:spacing w:after="0" w:line="240" w:lineRule="auto"/>
              <w:jc w:val="both"/>
              <w:rPr>
                <w:rFonts w:cs="Calibri"/>
                <w:sz w:val="20"/>
                <w:szCs w:val="20"/>
                <w:lang w:val="en-GB"/>
              </w:rPr>
            </w:pPr>
          </w:p>
          <w:p w14:paraId="0CBDDA67" w14:textId="5B42D240"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Sharing studies, conducted examine the impact of co-channel interference caused by MS systems into the FSS ES operating in the frequency band 3 600-3 800 </w:t>
            </w:r>
            <w:proofErr w:type="spellStart"/>
            <w:r w:rsidRPr="005E42CC">
              <w:rPr>
                <w:rFonts w:eastAsia="Times New Roman" w:cs="Calibri"/>
                <w:lang w:val="en-GB"/>
              </w:rPr>
              <w:t>MHz.</w:t>
            </w:r>
            <w:proofErr w:type="spellEnd"/>
          </w:p>
          <w:p w14:paraId="6A705D6F" w14:textId="7777777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The studies are based on:</w:t>
            </w:r>
          </w:p>
          <w:p w14:paraId="73BD581E" w14:textId="2D88B6D2" w:rsidR="00955924" w:rsidRPr="005E42CC" w:rsidRDefault="00955924" w:rsidP="00362351">
            <w:pPr>
              <w:spacing w:after="0" w:line="240" w:lineRule="auto"/>
              <w:ind w:left="720"/>
              <w:jc w:val="both"/>
              <w:rPr>
                <w:rFonts w:eastAsia="Times New Roman" w:cs="Calibri"/>
                <w:lang w:val="en-GB"/>
              </w:rPr>
            </w:pPr>
            <w:r w:rsidRPr="005E42CC">
              <w:rPr>
                <w:rFonts w:eastAsia="Times New Roman" w:cs="Calibri"/>
                <w:lang w:val="en-GB"/>
              </w:rPr>
              <w:t>(a)</w:t>
            </w:r>
            <w:r w:rsidRPr="005E42CC">
              <w:rPr>
                <w:rFonts w:eastAsia="Times New Roman" w:cs="Calibri"/>
                <w:lang w:val="en-GB"/>
              </w:rPr>
              <w:tab/>
              <w:t>existing operational FSS ES;</w:t>
            </w:r>
          </w:p>
          <w:p w14:paraId="41EA6D36" w14:textId="77777777" w:rsidR="00955924" w:rsidRPr="005E42CC" w:rsidRDefault="00955924" w:rsidP="00362351">
            <w:pPr>
              <w:spacing w:after="0" w:line="240" w:lineRule="auto"/>
              <w:ind w:left="720"/>
              <w:jc w:val="both"/>
              <w:rPr>
                <w:rFonts w:eastAsia="Times New Roman" w:cs="Calibri"/>
                <w:lang w:val="en-GB"/>
              </w:rPr>
            </w:pPr>
            <w:r w:rsidRPr="005E42CC">
              <w:rPr>
                <w:rFonts w:eastAsia="Times New Roman" w:cs="Calibri"/>
                <w:lang w:val="en-GB"/>
              </w:rPr>
              <w:t>(b)</w:t>
            </w:r>
            <w:r w:rsidRPr="005E42CC">
              <w:rPr>
                <w:rFonts w:eastAsia="Times New Roman" w:cs="Calibri"/>
                <w:lang w:val="en-GB"/>
              </w:rPr>
              <w:tab/>
              <w:t xml:space="preserve">mobile BSs, which are simulated to operate in the 3600-3800 MHz band; and </w:t>
            </w:r>
          </w:p>
          <w:p w14:paraId="596C8343" w14:textId="77777777" w:rsidR="00955924" w:rsidRPr="005E42CC" w:rsidRDefault="00955924" w:rsidP="00362351">
            <w:pPr>
              <w:spacing w:after="0" w:line="240" w:lineRule="auto"/>
              <w:ind w:left="720"/>
              <w:jc w:val="both"/>
              <w:rPr>
                <w:rFonts w:eastAsia="Times New Roman" w:cs="Calibri"/>
                <w:lang w:val="en-GB"/>
              </w:rPr>
            </w:pPr>
            <w:r w:rsidRPr="005E42CC">
              <w:rPr>
                <w:rFonts w:eastAsia="Times New Roman" w:cs="Calibri"/>
                <w:lang w:val="en-GB"/>
              </w:rPr>
              <w:t>(c)</w:t>
            </w:r>
            <w:r w:rsidRPr="005E42CC">
              <w:rPr>
                <w:rFonts w:eastAsia="Times New Roman" w:cs="Calibri"/>
                <w:lang w:val="en-GB"/>
              </w:rPr>
              <w:tab/>
              <w:t xml:space="preserve">actual terrain profile around them. </w:t>
            </w:r>
          </w:p>
          <w:p w14:paraId="03CAD92B" w14:textId="77777777" w:rsidR="001101D3" w:rsidRPr="005E42CC" w:rsidRDefault="001101D3" w:rsidP="00362351">
            <w:pPr>
              <w:spacing w:after="0" w:line="240" w:lineRule="auto"/>
              <w:jc w:val="both"/>
              <w:rPr>
                <w:rFonts w:eastAsia="Times New Roman" w:cs="Calibri"/>
                <w:lang w:val="en-GB"/>
              </w:rPr>
            </w:pPr>
          </w:p>
          <w:p w14:paraId="32F48898" w14:textId="6FA4CE3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These studies are based on protection of an FSS ES at a known location and does not address ubiquitous FSS deployment delivering services directly to consu</w:t>
            </w:r>
            <w:r w:rsidR="00125DC3" w:rsidRPr="005E42CC">
              <w:rPr>
                <w:rFonts w:eastAsia="Times New Roman" w:cs="Calibri"/>
                <w:lang w:val="en-GB"/>
              </w:rPr>
              <w:t xml:space="preserve">mers </w:t>
            </w:r>
            <w:proofErr w:type="gramStart"/>
            <w:r w:rsidR="00125DC3" w:rsidRPr="005E42CC">
              <w:rPr>
                <w:rFonts w:eastAsia="Times New Roman" w:cs="Calibri"/>
                <w:lang w:val="en-GB"/>
              </w:rPr>
              <w:t>e.g.</w:t>
            </w:r>
            <w:proofErr w:type="gramEnd"/>
            <w:r w:rsidR="00125DC3" w:rsidRPr="005E42CC">
              <w:rPr>
                <w:rFonts w:eastAsia="Times New Roman" w:cs="Calibri"/>
                <w:lang w:val="en-GB"/>
              </w:rPr>
              <w:t xml:space="preserve"> direct-to-home (DTH).</w:t>
            </w:r>
          </w:p>
          <w:p w14:paraId="6CCB5971" w14:textId="77777777" w:rsidR="001101D3" w:rsidRPr="005E42CC" w:rsidRDefault="001101D3" w:rsidP="00362351">
            <w:pPr>
              <w:spacing w:after="0" w:line="240" w:lineRule="auto"/>
              <w:jc w:val="both"/>
              <w:rPr>
                <w:rFonts w:eastAsia="Times New Roman" w:cs="Calibri"/>
                <w:lang w:val="en-GB"/>
              </w:rPr>
            </w:pPr>
          </w:p>
          <w:p w14:paraId="6CDBD749" w14:textId="77777777" w:rsidR="00956D26" w:rsidRPr="005E42CC" w:rsidRDefault="00955924" w:rsidP="00362351">
            <w:pPr>
              <w:spacing w:after="0" w:line="240" w:lineRule="auto"/>
              <w:jc w:val="both"/>
              <w:rPr>
                <w:rFonts w:eastAsia="Times New Roman" w:cs="Calibri"/>
                <w:lang w:val="en-GB"/>
              </w:rPr>
            </w:pPr>
            <w:r w:rsidRPr="005E42CC">
              <w:rPr>
                <w:rFonts w:eastAsia="Times New Roman" w:cs="Calibri"/>
                <w:lang w:val="en-GB"/>
              </w:rPr>
              <w:t>This sharing study analyzes possible co-existence between FSS and MS systems in the same band on a co-primary basis and determine the impact from MS on FSS receiving ES.</w:t>
            </w:r>
          </w:p>
          <w:p w14:paraId="6A28EE3B" w14:textId="0CC140B3"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 </w:t>
            </w:r>
          </w:p>
          <w:p w14:paraId="3F48446C" w14:textId="48DEF791"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The results are given in the form of separation distances required to protect the FSS ES from in-band interference caused by a single transmitting MS macro BS. It is to be noted that both adjacent band and aggregate interference studies will also be necessary in the future.</w:t>
            </w:r>
          </w:p>
          <w:p w14:paraId="2CCC4CD2" w14:textId="77777777" w:rsidR="00956D26" w:rsidRPr="005E42CC" w:rsidRDefault="00956D26" w:rsidP="00362351">
            <w:pPr>
              <w:spacing w:after="0" w:line="240" w:lineRule="auto"/>
              <w:jc w:val="both"/>
              <w:rPr>
                <w:rFonts w:eastAsia="Times New Roman" w:cs="Calibri"/>
                <w:lang w:val="en-GB"/>
              </w:rPr>
            </w:pPr>
          </w:p>
          <w:p w14:paraId="036E7E2E" w14:textId="34ABD148" w:rsidR="00951940" w:rsidRPr="005E42CC" w:rsidRDefault="00951940" w:rsidP="00362351">
            <w:pPr>
              <w:keepNext/>
              <w:keepLines/>
              <w:spacing w:after="0" w:line="240" w:lineRule="auto"/>
              <w:ind w:left="432" w:hanging="432"/>
              <w:outlineLvl w:val="0"/>
              <w:rPr>
                <w:rFonts w:asciiTheme="minorHAnsi" w:eastAsiaTheme="majorEastAsia" w:hAnsiTheme="minorHAnsi" w:cstheme="minorHAnsi"/>
                <w:b/>
                <w:sz w:val="24"/>
                <w:szCs w:val="24"/>
                <w:lang w:val="en-GB"/>
              </w:rPr>
            </w:pPr>
            <w:r w:rsidRPr="005E42CC">
              <w:rPr>
                <w:rFonts w:asciiTheme="minorHAnsi" w:eastAsiaTheme="majorEastAsia" w:hAnsiTheme="minorHAnsi" w:cstheme="minorHAnsi"/>
                <w:b/>
                <w:sz w:val="24"/>
                <w:szCs w:val="24"/>
                <w:lang w:val="en-GB"/>
              </w:rPr>
              <w:t>Parameters and tools for the studies</w:t>
            </w:r>
          </w:p>
          <w:p w14:paraId="3E888B73" w14:textId="77777777" w:rsidR="00956D26" w:rsidRPr="005E42CC" w:rsidRDefault="00956D26" w:rsidP="00362351">
            <w:pPr>
              <w:keepNext/>
              <w:keepLines/>
              <w:spacing w:after="0" w:line="240" w:lineRule="auto"/>
              <w:ind w:left="432" w:hanging="432"/>
              <w:outlineLvl w:val="0"/>
              <w:rPr>
                <w:rFonts w:asciiTheme="minorHAnsi" w:eastAsiaTheme="majorEastAsia" w:hAnsiTheme="minorHAnsi" w:cstheme="minorHAnsi"/>
                <w:b/>
                <w:sz w:val="24"/>
                <w:szCs w:val="24"/>
                <w:lang w:val="en-GB"/>
              </w:rPr>
            </w:pPr>
          </w:p>
          <w:p w14:paraId="5275A7CB" w14:textId="7777777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This study has been based on the following ITU-R reports and ITU documentations: </w:t>
            </w:r>
          </w:p>
          <w:p w14:paraId="06B2F84E" w14:textId="77777777" w:rsidR="00955924" w:rsidRPr="005E42CC" w:rsidRDefault="00955924" w:rsidP="002D603F">
            <w:pPr>
              <w:numPr>
                <w:ilvl w:val="0"/>
                <w:numId w:val="1"/>
              </w:numPr>
              <w:spacing w:after="0" w:line="240" w:lineRule="auto"/>
              <w:jc w:val="both"/>
              <w:rPr>
                <w:rFonts w:eastAsia="Times New Roman" w:cs="Calibri"/>
                <w:lang w:val="en-GB"/>
              </w:rPr>
            </w:pPr>
            <w:r w:rsidRPr="005E42CC">
              <w:rPr>
                <w:rFonts w:eastAsia="Times New Roman" w:cs="Calibri"/>
                <w:b/>
                <w:bCs/>
                <w:lang w:val="en-GB"/>
              </w:rPr>
              <w:t>Annex 18 to 5A/359</w:t>
            </w:r>
            <w:r w:rsidRPr="005E42CC">
              <w:rPr>
                <w:rStyle w:val="FootnoteReference"/>
                <w:rFonts w:eastAsia="Times New Roman" w:cs="Calibri"/>
                <w:lang w:val="en-GB"/>
              </w:rPr>
              <w:footnoteReference w:id="1"/>
            </w:r>
            <w:r w:rsidRPr="005E42CC">
              <w:rPr>
                <w:rFonts w:eastAsia="Times New Roman" w:cs="Calibri"/>
                <w:lang w:val="en-GB"/>
              </w:rPr>
              <w:t>: Technical characteristics and operational parameters of the land mobile service for sharing and compatibility studies under WRC-23 agenda item 1.3</w:t>
            </w:r>
          </w:p>
          <w:p w14:paraId="1AEC8ED9" w14:textId="77777777" w:rsidR="00955924" w:rsidRPr="005E42CC" w:rsidRDefault="00955924" w:rsidP="002D603F">
            <w:pPr>
              <w:numPr>
                <w:ilvl w:val="0"/>
                <w:numId w:val="1"/>
              </w:numPr>
              <w:spacing w:after="0" w:line="240" w:lineRule="auto"/>
              <w:jc w:val="both"/>
              <w:rPr>
                <w:rFonts w:eastAsia="Times New Roman" w:cs="Calibri"/>
                <w:lang w:val="en-GB"/>
              </w:rPr>
            </w:pPr>
            <w:r w:rsidRPr="005E42CC">
              <w:rPr>
                <w:rFonts w:eastAsia="Times New Roman" w:cs="Calibri"/>
                <w:b/>
                <w:bCs/>
                <w:lang w:val="en-GB"/>
              </w:rPr>
              <w:t>Report ITU-R S.2368</w:t>
            </w:r>
            <w:r w:rsidRPr="005E42CC">
              <w:rPr>
                <w:rFonts w:eastAsia="Times New Roman" w:cs="Calibri"/>
                <w:lang w:val="en-GB"/>
              </w:rPr>
              <w:t>: Sharing studies between International Mobile Telecommunication-Advanced systems and geostationary satellite networks in the fixed-satellite service in the 3 400-4 200 MHz and 4 500-4 800 MHz frequency bands in the WRC study cycle leading to WRC-15</w:t>
            </w:r>
          </w:p>
          <w:p w14:paraId="0030CB64" w14:textId="175AA1E2" w:rsidR="00955924" w:rsidRPr="005E42CC" w:rsidRDefault="00955924" w:rsidP="002D603F">
            <w:pPr>
              <w:numPr>
                <w:ilvl w:val="0"/>
                <w:numId w:val="1"/>
              </w:numPr>
              <w:spacing w:after="0" w:line="240" w:lineRule="auto"/>
              <w:jc w:val="both"/>
              <w:rPr>
                <w:rFonts w:eastAsia="Times New Roman" w:cs="Calibri"/>
                <w:lang w:val="en-GB"/>
              </w:rPr>
            </w:pPr>
            <w:r w:rsidRPr="005E42CC">
              <w:rPr>
                <w:rFonts w:eastAsia="Times New Roman" w:cs="Calibri"/>
                <w:b/>
                <w:bCs/>
                <w:lang w:val="en-GB"/>
              </w:rPr>
              <w:t>Report ITU-R M.2109</w:t>
            </w:r>
            <w:r w:rsidRPr="005E42CC">
              <w:rPr>
                <w:rFonts w:eastAsia="Times New Roman" w:cs="Calibri"/>
                <w:lang w:val="en-GB"/>
              </w:rPr>
              <w:t>: Sharing studies between IMT-Advanced systems and geostationary satellite networks in the fixed-satellite service in the 3 400-4 200 MHz and 4 500-4 800 MHz frequency bands.</w:t>
            </w:r>
          </w:p>
          <w:p w14:paraId="0B010C2F" w14:textId="77777777" w:rsidR="00956D26" w:rsidRPr="005E42CC" w:rsidRDefault="00956D26" w:rsidP="00956D26">
            <w:pPr>
              <w:spacing w:after="0" w:line="240" w:lineRule="auto"/>
              <w:ind w:left="360"/>
              <w:jc w:val="both"/>
              <w:rPr>
                <w:rFonts w:eastAsia="Times New Roman" w:cs="Calibri"/>
                <w:lang w:val="en-GB"/>
              </w:rPr>
            </w:pPr>
          </w:p>
          <w:p w14:paraId="3D0B0694" w14:textId="77777777" w:rsidR="00956D26" w:rsidRPr="005E42CC" w:rsidRDefault="00955924" w:rsidP="00362351">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The simulation results are obtained using the software </w:t>
            </w:r>
            <w:proofErr w:type="spellStart"/>
            <w:r w:rsidRPr="005E42CC">
              <w:rPr>
                <w:rFonts w:asciiTheme="minorHAnsi" w:eastAsiaTheme="minorHAnsi" w:hAnsiTheme="minorHAnsi" w:cstheme="minorHAnsi"/>
                <w:lang w:val="en-GB"/>
              </w:rPr>
              <w:t>Visualyse</w:t>
            </w:r>
            <w:proofErr w:type="spellEnd"/>
            <w:r w:rsidRPr="005E42CC">
              <w:rPr>
                <w:rFonts w:asciiTheme="minorHAnsi" w:eastAsiaTheme="minorHAnsi" w:hAnsiTheme="minorHAnsi" w:cstheme="minorHAnsi"/>
                <w:lang w:val="en-GB"/>
              </w:rPr>
              <w:t xml:space="preserve"> Professional from Transfinite Systems Ltd. for the interference analysis from Mobile macro base stations (BS) into FSS earth station receivers. </w:t>
            </w:r>
          </w:p>
          <w:p w14:paraId="7FD5FDD3" w14:textId="423D1993" w:rsidR="00955924" w:rsidRPr="005E42CC" w:rsidRDefault="00955924" w:rsidP="00362351">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 </w:t>
            </w:r>
          </w:p>
          <w:p w14:paraId="6AF7636A" w14:textId="4F77871B" w:rsidR="00955924" w:rsidRPr="005E42CC" w:rsidRDefault="00955924" w:rsidP="00362351">
            <w:pPr>
              <w:spacing w:after="0" w:line="240" w:lineRule="auto"/>
              <w:jc w:val="both"/>
              <w:rPr>
                <w:rFonts w:asciiTheme="minorHAnsi" w:eastAsia="Times New Roman" w:hAnsiTheme="minorHAnsi" w:cstheme="minorHAnsi"/>
                <w:lang w:val="en-GB"/>
              </w:rPr>
            </w:pPr>
            <w:r w:rsidRPr="005E42CC">
              <w:rPr>
                <w:rFonts w:asciiTheme="minorHAnsi" w:eastAsia="MS Mincho" w:hAnsiTheme="minorHAnsi" w:cstheme="minorHAnsi"/>
                <w:lang w:val="en-GB" w:eastAsia="ja-JP"/>
              </w:rPr>
              <w:t>The results are given in the form of separation distances required to protect the FSS ES from in-band interference caused by a single transmitting MS macro BS. It is to be noted that both adjacent band and aggregate interference studies will also be necessary in the future.</w:t>
            </w:r>
          </w:p>
          <w:p w14:paraId="758FAAB1" w14:textId="77777777" w:rsidR="00362351" w:rsidRPr="005E42CC" w:rsidRDefault="00362351" w:rsidP="00362351">
            <w:pPr>
              <w:spacing w:after="0" w:line="240" w:lineRule="auto"/>
              <w:jc w:val="both"/>
              <w:rPr>
                <w:rFonts w:eastAsia="Times New Roman" w:cs="Calibri"/>
                <w:b/>
                <w:bCs/>
                <w:u w:val="single"/>
                <w:lang w:val="en-GB"/>
              </w:rPr>
            </w:pPr>
          </w:p>
          <w:p w14:paraId="2FADBA2B" w14:textId="66A8D210" w:rsidR="00955924" w:rsidRPr="005E42CC" w:rsidRDefault="00955924" w:rsidP="00362351">
            <w:pPr>
              <w:spacing w:after="0" w:line="240" w:lineRule="auto"/>
              <w:jc w:val="both"/>
              <w:rPr>
                <w:rFonts w:eastAsia="Times New Roman" w:cs="Calibri"/>
                <w:b/>
                <w:bCs/>
                <w:u w:val="single"/>
                <w:lang w:val="en-GB"/>
              </w:rPr>
            </w:pPr>
            <w:r w:rsidRPr="005E42CC">
              <w:rPr>
                <w:rFonts w:eastAsia="Times New Roman" w:cs="Calibri"/>
                <w:b/>
                <w:bCs/>
                <w:u w:val="single"/>
                <w:lang w:val="en-GB"/>
              </w:rPr>
              <w:t>FSS Earth Station Parameters</w:t>
            </w:r>
          </w:p>
          <w:p w14:paraId="36CBD19F" w14:textId="7777777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FSS parameters are based Report ITU-R S.2368 for typical FSS earth station parameters in the 3 400-4 200 MHz and 4 500-4 800 MHz frequency bands.</w:t>
            </w:r>
          </w:p>
          <w:p w14:paraId="54D837C7" w14:textId="05E0C2A2" w:rsidR="00876855" w:rsidRPr="005E42CC" w:rsidRDefault="00876855" w:rsidP="00362351">
            <w:pPr>
              <w:autoSpaceDE w:val="0"/>
              <w:autoSpaceDN w:val="0"/>
              <w:adjustRightInd w:val="0"/>
              <w:spacing w:after="0" w:line="240" w:lineRule="auto"/>
              <w:jc w:val="both"/>
              <w:rPr>
                <w:rFonts w:cs="Calibri"/>
                <w:sz w:val="20"/>
                <w:szCs w:val="20"/>
                <w:lang w:val="en-GB"/>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408"/>
              <w:gridCol w:w="3867"/>
            </w:tblGrid>
            <w:tr w:rsidR="00955924" w:rsidRPr="005E42CC" w14:paraId="15194F50" w14:textId="77777777" w:rsidTr="00914B7A">
              <w:trPr>
                <w:trHeight w:val="262"/>
                <w:jc w:val="center"/>
              </w:trPr>
              <w:tc>
                <w:tcPr>
                  <w:tcW w:w="4408" w:type="dxa"/>
                  <w:vAlign w:val="center"/>
                  <w:hideMark/>
                </w:tcPr>
                <w:p w14:paraId="12BC14A8" w14:textId="77777777" w:rsidR="00955924" w:rsidRPr="005E42CC" w:rsidRDefault="00955924" w:rsidP="00362351">
                  <w:pPr>
                    <w:spacing w:after="0" w:line="240" w:lineRule="auto"/>
                    <w:rPr>
                      <w:lang w:val="en-GB"/>
                    </w:rPr>
                  </w:pPr>
                  <w:r w:rsidRPr="005E42CC">
                    <w:rPr>
                      <w:b/>
                      <w:lang w:val="en-GB"/>
                    </w:rPr>
                    <w:t>Parameter</w:t>
                  </w:r>
                </w:p>
              </w:tc>
              <w:tc>
                <w:tcPr>
                  <w:tcW w:w="3867" w:type="dxa"/>
                  <w:vAlign w:val="center"/>
                  <w:hideMark/>
                </w:tcPr>
                <w:p w14:paraId="54712EB2" w14:textId="77777777" w:rsidR="00955924" w:rsidRPr="005E42CC" w:rsidRDefault="00955924" w:rsidP="00362351">
                  <w:pPr>
                    <w:spacing w:after="0" w:line="240" w:lineRule="auto"/>
                    <w:rPr>
                      <w:lang w:val="en-GB"/>
                    </w:rPr>
                  </w:pPr>
                  <w:r w:rsidRPr="005E42CC">
                    <w:rPr>
                      <w:b/>
                      <w:lang w:val="en-GB"/>
                    </w:rPr>
                    <w:t>Typical value</w:t>
                  </w:r>
                </w:p>
              </w:tc>
            </w:tr>
            <w:tr w:rsidR="00955924" w:rsidRPr="005E42CC" w14:paraId="1D15D504" w14:textId="77777777" w:rsidTr="00914B7A">
              <w:trPr>
                <w:trHeight w:val="453"/>
                <w:jc w:val="center"/>
              </w:trPr>
              <w:tc>
                <w:tcPr>
                  <w:tcW w:w="4408" w:type="dxa"/>
                  <w:vAlign w:val="center"/>
                  <w:hideMark/>
                </w:tcPr>
                <w:p w14:paraId="07047214" w14:textId="77777777" w:rsidR="00955924" w:rsidRPr="005E42CC" w:rsidRDefault="00955924" w:rsidP="00362351">
                  <w:pPr>
                    <w:spacing w:after="0" w:line="240" w:lineRule="auto"/>
                  </w:pPr>
                  <w:r w:rsidRPr="005E42CC">
                    <w:t>Range of operating frequencies</w:t>
                  </w:r>
                </w:p>
              </w:tc>
              <w:tc>
                <w:tcPr>
                  <w:tcW w:w="3867" w:type="dxa"/>
                  <w:vAlign w:val="center"/>
                  <w:hideMark/>
                </w:tcPr>
                <w:p w14:paraId="50991DB7" w14:textId="77777777" w:rsidR="00955924" w:rsidRPr="005E42CC" w:rsidRDefault="00955924" w:rsidP="00362351">
                  <w:pPr>
                    <w:spacing w:after="0" w:line="240" w:lineRule="auto"/>
                  </w:pPr>
                  <w:r w:rsidRPr="005E42CC">
                    <w:t>3 600-3 800 MHz</w:t>
                  </w:r>
                </w:p>
              </w:tc>
            </w:tr>
            <w:tr w:rsidR="00955924" w:rsidRPr="005E42CC" w14:paraId="24D0279D" w14:textId="77777777" w:rsidTr="00914B7A">
              <w:trPr>
                <w:trHeight w:val="432"/>
                <w:jc w:val="center"/>
              </w:trPr>
              <w:tc>
                <w:tcPr>
                  <w:tcW w:w="4408" w:type="dxa"/>
                  <w:vAlign w:val="center"/>
                </w:tcPr>
                <w:p w14:paraId="6999C4A1" w14:textId="77777777" w:rsidR="00955924" w:rsidRPr="005E42CC" w:rsidRDefault="00955924" w:rsidP="00362351">
                  <w:pPr>
                    <w:spacing w:after="0" w:line="240" w:lineRule="auto"/>
                  </w:pPr>
                  <w:r w:rsidRPr="005E42CC">
                    <w:t>Antenna size (m)</w:t>
                  </w:r>
                </w:p>
              </w:tc>
              <w:tc>
                <w:tcPr>
                  <w:tcW w:w="3867" w:type="dxa"/>
                  <w:vAlign w:val="center"/>
                </w:tcPr>
                <w:p w14:paraId="4B194DF2" w14:textId="77777777" w:rsidR="00955924" w:rsidRPr="005E42CC" w:rsidRDefault="00955924" w:rsidP="00362351">
                  <w:pPr>
                    <w:spacing w:after="0" w:line="240" w:lineRule="auto"/>
                  </w:pPr>
                  <w:r w:rsidRPr="005E42CC">
                    <w:t>2.4-12</w:t>
                  </w:r>
                </w:p>
              </w:tc>
            </w:tr>
            <w:tr w:rsidR="00955924" w:rsidRPr="005E42CC" w14:paraId="5329F2FE" w14:textId="77777777" w:rsidTr="00914B7A">
              <w:trPr>
                <w:trHeight w:val="432"/>
                <w:jc w:val="center"/>
              </w:trPr>
              <w:tc>
                <w:tcPr>
                  <w:tcW w:w="4408" w:type="dxa"/>
                  <w:vAlign w:val="center"/>
                </w:tcPr>
                <w:p w14:paraId="608C7EAF" w14:textId="77777777" w:rsidR="00955924" w:rsidRPr="005E42CC" w:rsidRDefault="00955924" w:rsidP="00362351">
                  <w:pPr>
                    <w:spacing w:after="0" w:line="240" w:lineRule="auto"/>
                    <w:rPr>
                      <w:rFonts w:eastAsia="Times New Roman"/>
                      <w:lang w:val="en-GB"/>
                    </w:rPr>
                  </w:pPr>
                  <w:r w:rsidRPr="005E42CC">
                    <w:rPr>
                      <w:rFonts w:eastAsia="Times New Roman"/>
                      <w:lang w:val="en-GB"/>
                    </w:rPr>
                    <w:t xml:space="preserve">ES Carrier </w:t>
                  </w:r>
                  <w:proofErr w:type="spellStart"/>
                  <w:r w:rsidRPr="005E42CC">
                    <w:rPr>
                      <w:rFonts w:eastAsia="Times New Roman"/>
                      <w:lang w:val="en-GB"/>
                    </w:rPr>
                    <w:t>Bandwith</w:t>
                  </w:r>
                  <w:proofErr w:type="spellEnd"/>
                  <w:r w:rsidRPr="005E42CC">
                    <w:rPr>
                      <w:rFonts w:eastAsia="Times New Roman"/>
                      <w:lang w:val="en-GB"/>
                    </w:rPr>
                    <w:t xml:space="preserve"> (MHz)</w:t>
                  </w:r>
                </w:p>
              </w:tc>
              <w:tc>
                <w:tcPr>
                  <w:tcW w:w="3867" w:type="dxa"/>
                  <w:vAlign w:val="center"/>
                </w:tcPr>
                <w:p w14:paraId="08E4F8D0" w14:textId="4752E8FE" w:rsidR="00955924" w:rsidRPr="005E42CC" w:rsidRDefault="00951940" w:rsidP="00362351">
                  <w:pPr>
                    <w:spacing w:after="0" w:line="240" w:lineRule="auto"/>
                    <w:rPr>
                      <w:rFonts w:eastAsia="Times New Roman"/>
                      <w:lang w:val="en-GB"/>
                    </w:rPr>
                  </w:pPr>
                  <w:r w:rsidRPr="005E42CC">
                    <w:rPr>
                      <w:rFonts w:eastAsia="Times New Roman"/>
                      <w:lang w:val="en-GB"/>
                    </w:rPr>
                    <w:t>20/</w:t>
                  </w:r>
                  <w:r w:rsidR="00955924" w:rsidRPr="005E42CC">
                    <w:rPr>
                      <w:rFonts w:eastAsia="Times New Roman"/>
                      <w:lang w:val="en-GB"/>
                    </w:rPr>
                    <w:t>40 MHz</w:t>
                  </w:r>
                </w:p>
              </w:tc>
            </w:tr>
            <w:tr w:rsidR="00955924" w:rsidRPr="005E42CC" w14:paraId="2223F3D9" w14:textId="77777777" w:rsidTr="00914B7A">
              <w:trPr>
                <w:trHeight w:val="432"/>
                <w:jc w:val="center"/>
              </w:trPr>
              <w:tc>
                <w:tcPr>
                  <w:tcW w:w="4408" w:type="dxa"/>
                  <w:vAlign w:val="center"/>
                  <w:hideMark/>
                </w:tcPr>
                <w:p w14:paraId="0B5BD34B" w14:textId="77777777" w:rsidR="00955924" w:rsidRPr="005E42CC" w:rsidRDefault="00955924" w:rsidP="00362351">
                  <w:pPr>
                    <w:spacing w:after="0" w:line="240" w:lineRule="auto"/>
                  </w:pPr>
                  <w:r w:rsidRPr="005E42CC">
                    <w:t>Antenna reference pattern</w:t>
                  </w:r>
                </w:p>
              </w:tc>
              <w:tc>
                <w:tcPr>
                  <w:tcW w:w="3867" w:type="dxa"/>
                  <w:vAlign w:val="center"/>
                  <w:hideMark/>
                </w:tcPr>
                <w:p w14:paraId="5CC58FA1" w14:textId="77777777" w:rsidR="00955924" w:rsidRPr="005E42CC" w:rsidRDefault="00955924" w:rsidP="00362351">
                  <w:pPr>
                    <w:spacing w:after="0" w:line="240" w:lineRule="auto"/>
                  </w:pPr>
                  <w:r w:rsidRPr="005E42CC">
                    <w:t>ITU-R S.465</w:t>
                  </w:r>
                </w:p>
              </w:tc>
            </w:tr>
            <w:tr w:rsidR="00955924" w:rsidRPr="005E42CC" w14:paraId="3D75BFE2" w14:textId="77777777" w:rsidTr="00914B7A">
              <w:trPr>
                <w:trHeight w:val="432"/>
                <w:jc w:val="center"/>
              </w:trPr>
              <w:tc>
                <w:tcPr>
                  <w:tcW w:w="4408" w:type="dxa"/>
                  <w:vAlign w:val="center"/>
                  <w:hideMark/>
                </w:tcPr>
                <w:p w14:paraId="584E95EF" w14:textId="77777777" w:rsidR="00955924" w:rsidRPr="005E42CC" w:rsidRDefault="00955924" w:rsidP="00362351">
                  <w:pPr>
                    <w:spacing w:after="0" w:line="240" w:lineRule="auto"/>
                  </w:pPr>
                  <w:r w:rsidRPr="005E42CC">
                    <w:t>Receiving system noise temperature</w:t>
                  </w:r>
                </w:p>
              </w:tc>
              <w:tc>
                <w:tcPr>
                  <w:tcW w:w="3867" w:type="dxa"/>
                  <w:vAlign w:val="center"/>
                  <w:hideMark/>
                </w:tcPr>
                <w:p w14:paraId="59DAE450" w14:textId="77777777" w:rsidR="00955924" w:rsidRPr="005E42CC" w:rsidRDefault="00955924" w:rsidP="00362351">
                  <w:pPr>
                    <w:spacing w:after="0" w:line="240" w:lineRule="auto"/>
                  </w:pPr>
                  <w:r w:rsidRPr="005E42CC">
                    <w:t>70/100˚K</w:t>
                  </w:r>
                </w:p>
              </w:tc>
            </w:tr>
            <w:tr w:rsidR="00955924" w:rsidRPr="005E42CC" w14:paraId="42DAC2E3" w14:textId="77777777" w:rsidTr="00914B7A">
              <w:trPr>
                <w:trHeight w:val="432"/>
                <w:jc w:val="center"/>
              </w:trPr>
              <w:tc>
                <w:tcPr>
                  <w:tcW w:w="4408" w:type="dxa"/>
                  <w:vAlign w:val="center"/>
                </w:tcPr>
                <w:p w14:paraId="694F0D60" w14:textId="77777777" w:rsidR="00955924" w:rsidRPr="005E42CC" w:rsidRDefault="00955924" w:rsidP="00362351">
                  <w:pPr>
                    <w:spacing w:after="0" w:line="240" w:lineRule="auto"/>
                  </w:pPr>
                  <w:r w:rsidRPr="005E42CC">
                    <w:t>ES antenna pointing</w:t>
                  </w:r>
                </w:p>
              </w:tc>
              <w:tc>
                <w:tcPr>
                  <w:tcW w:w="3867" w:type="dxa"/>
                  <w:vAlign w:val="center"/>
                </w:tcPr>
                <w:p w14:paraId="18C118A2" w14:textId="52C12466" w:rsidR="00955924" w:rsidRPr="005E42CC" w:rsidRDefault="00955924" w:rsidP="00362351">
                  <w:pPr>
                    <w:spacing w:after="0" w:line="240" w:lineRule="auto"/>
                  </w:pPr>
                  <w:r w:rsidRPr="005E42CC">
                    <w:t xml:space="preserve">Multiple </w:t>
                  </w:r>
                </w:p>
              </w:tc>
            </w:tr>
            <w:tr w:rsidR="00955924" w:rsidRPr="005E42CC" w14:paraId="43E1940D" w14:textId="77777777" w:rsidTr="00914B7A">
              <w:trPr>
                <w:trHeight w:val="432"/>
                <w:jc w:val="center"/>
              </w:trPr>
              <w:tc>
                <w:tcPr>
                  <w:tcW w:w="4408" w:type="dxa"/>
                  <w:vAlign w:val="center"/>
                </w:tcPr>
                <w:p w14:paraId="5D73559B" w14:textId="77777777" w:rsidR="00955924" w:rsidRPr="005E42CC" w:rsidRDefault="00955924" w:rsidP="00362351">
                  <w:pPr>
                    <w:spacing w:after="0" w:line="240" w:lineRule="auto"/>
                    <w:rPr>
                      <w:rFonts w:eastAsia="Times New Roman"/>
                      <w:lang w:val="en-GB"/>
                    </w:rPr>
                  </w:pPr>
                  <w:r w:rsidRPr="005E42CC">
                    <w:rPr>
                      <w:rFonts w:eastAsia="Times New Roman"/>
                      <w:lang w:val="en-GB"/>
                    </w:rPr>
                    <w:t>ES Location locations</w:t>
                  </w:r>
                </w:p>
              </w:tc>
              <w:tc>
                <w:tcPr>
                  <w:tcW w:w="3867" w:type="dxa"/>
                  <w:vAlign w:val="center"/>
                </w:tcPr>
                <w:p w14:paraId="2CA7FEAA" w14:textId="11D19CA8" w:rsidR="00955924" w:rsidRPr="005E42CC" w:rsidRDefault="00951940" w:rsidP="00362351">
                  <w:pPr>
                    <w:spacing w:after="0" w:line="240" w:lineRule="auto"/>
                    <w:rPr>
                      <w:rFonts w:eastAsia="Times New Roman"/>
                      <w:lang w:val="en-GB"/>
                    </w:rPr>
                  </w:pPr>
                  <w:proofErr w:type="spellStart"/>
                  <w:r w:rsidRPr="005E42CC">
                    <w:rPr>
                      <w:rFonts w:eastAsiaTheme="minorEastAsia" w:cs="Arial"/>
                      <w:sz w:val="20"/>
                      <w:szCs w:val="20"/>
                      <w:lang w:val="en-GB"/>
                    </w:rPr>
                    <w:t>Lodwar</w:t>
                  </w:r>
                  <w:proofErr w:type="spellEnd"/>
                  <w:r w:rsidRPr="005E42CC">
                    <w:rPr>
                      <w:rFonts w:eastAsiaTheme="minorEastAsia" w:cs="Arial"/>
                      <w:sz w:val="20"/>
                      <w:szCs w:val="20"/>
                      <w:lang w:val="en-GB"/>
                    </w:rPr>
                    <w:t xml:space="preserve">, Nairobi, </w:t>
                  </w:r>
                  <w:proofErr w:type="spellStart"/>
                  <w:r w:rsidRPr="005E42CC">
                    <w:rPr>
                      <w:rFonts w:eastAsiaTheme="minorEastAsia" w:cs="Arial"/>
                      <w:sz w:val="20"/>
                      <w:szCs w:val="20"/>
                      <w:lang w:val="en-GB"/>
                    </w:rPr>
                    <w:t>Isiolo</w:t>
                  </w:r>
                  <w:proofErr w:type="spellEnd"/>
                  <w:r w:rsidRPr="005E42CC">
                    <w:rPr>
                      <w:rFonts w:eastAsiaTheme="minorEastAsia" w:cs="Arial"/>
                      <w:sz w:val="20"/>
                      <w:szCs w:val="20"/>
                      <w:lang w:val="en-GB"/>
                    </w:rPr>
                    <w:t xml:space="preserve"> County, Tana River</w:t>
                  </w:r>
                </w:p>
              </w:tc>
            </w:tr>
            <w:tr w:rsidR="00955924" w:rsidRPr="005E42CC" w14:paraId="3AA09496" w14:textId="77777777" w:rsidTr="00914B7A">
              <w:trPr>
                <w:trHeight w:val="432"/>
                <w:jc w:val="center"/>
              </w:trPr>
              <w:tc>
                <w:tcPr>
                  <w:tcW w:w="4408" w:type="dxa"/>
                  <w:vAlign w:val="center"/>
                </w:tcPr>
                <w:p w14:paraId="3FF99DD3" w14:textId="77777777" w:rsidR="00955924" w:rsidRPr="005E42CC" w:rsidRDefault="00955924" w:rsidP="00362351">
                  <w:pPr>
                    <w:spacing w:after="0" w:line="240" w:lineRule="auto"/>
                    <w:rPr>
                      <w:rFonts w:eastAsia="Times New Roman"/>
                      <w:lang w:val="en-GB"/>
                    </w:rPr>
                  </w:pPr>
                  <w:r w:rsidRPr="005E42CC">
                    <w:rPr>
                      <w:rFonts w:eastAsia="Times New Roman"/>
                      <w:lang w:val="en-GB"/>
                    </w:rPr>
                    <w:t>ES Antenna Centre Height above ground (m)</w:t>
                  </w:r>
                </w:p>
              </w:tc>
              <w:tc>
                <w:tcPr>
                  <w:tcW w:w="3867" w:type="dxa"/>
                  <w:vAlign w:val="center"/>
                </w:tcPr>
                <w:p w14:paraId="66287F17" w14:textId="77777777" w:rsidR="00955924" w:rsidRPr="005E42CC" w:rsidRDefault="00955924" w:rsidP="00362351">
                  <w:pPr>
                    <w:spacing w:after="0" w:line="240" w:lineRule="auto"/>
                    <w:rPr>
                      <w:rFonts w:eastAsia="Times New Roman"/>
                      <w:lang w:val="en-GB"/>
                    </w:rPr>
                  </w:pPr>
                  <w:r w:rsidRPr="005E42CC">
                    <w:rPr>
                      <w:rFonts w:eastAsia="Times New Roman"/>
                      <w:lang w:val="en-GB"/>
                    </w:rPr>
                    <w:t>10</w:t>
                  </w:r>
                </w:p>
              </w:tc>
            </w:tr>
          </w:tbl>
          <w:p w14:paraId="2419A584" w14:textId="3173D5B8" w:rsidR="00955924" w:rsidRPr="005E42CC" w:rsidRDefault="00955924" w:rsidP="00362351">
            <w:pPr>
              <w:spacing w:after="0" w:line="240" w:lineRule="auto"/>
              <w:jc w:val="center"/>
              <w:rPr>
                <w:rFonts w:eastAsia="Times New Roman" w:cs="Calibri"/>
                <w:b/>
                <w:bCs/>
                <w:sz w:val="20"/>
                <w:szCs w:val="20"/>
                <w:lang w:val="en-GB"/>
              </w:rPr>
            </w:pPr>
            <w:r w:rsidRPr="005E42CC">
              <w:rPr>
                <w:rFonts w:eastAsia="Times New Roman" w:cs="Calibri"/>
                <w:b/>
                <w:bCs/>
                <w:sz w:val="20"/>
                <w:szCs w:val="20"/>
                <w:lang w:val="en-GB"/>
              </w:rPr>
              <w:t xml:space="preserve">Table </w:t>
            </w:r>
            <w:r w:rsidR="00956D26" w:rsidRPr="005E42CC">
              <w:rPr>
                <w:rFonts w:eastAsia="Times New Roman" w:cs="Calibri"/>
                <w:b/>
                <w:bCs/>
                <w:sz w:val="20"/>
                <w:szCs w:val="20"/>
                <w:lang w:val="en-GB"/>
              </w:rPr>
              <w:t>1</w:t>
            </w:r>
            <w:r w:rsidRPr="005E42CC">
              <w:rPr>
                <w:rFonts w:eastAsia="Times New Roman" w:cs="Calibri"/>
                <w:b/>
                <w:bCs/>
                <w:sz w:val="20"/>
                <w:szCs w:val="20"/>
                <w:lang w:val="en-GB"/>
              </w:rPr>
              <w:t>: FSS earth station parameters</w:t>
            </w:r>
          </w:p>
          <w:p w14:paraId="22DDFCCF" w14:textId="77777777" w:rsidR="00955924" w:rsidRPr="005E42CC" w:rsidRDefault="00955924" w:rsidP="00362351">
            <w:pPr>
              <w:spacing w:after="0" w:line="240" w:lineRule="auto"/>
              <w:jc w:val="both"/>
              <w:rPr>
                <w:rFonts w:eastAsia="Times New Roman" w:cs="Calibri"/>
                <w:b/>
                <w:bCs/>
                <w:u w:val="single"/>
                <w:lang w:val="en-GB"/>
              </w:rPr>
            </w:pPr>
            <w:r w:rsidRPr="005E42CC">
              <w:rPr>
                <w:rFonts w:eastAsia="Times New Roman" w:cs="Calibri"/>
                <w:b/>
                <w:bCs/>
                <w:u w:val="single"/>
                <w:lang w:val="en-GB"/>
              </w:rPr>
              <w:t>FSS Protection Criteria</w:t>
            </w:r>
          </w:p>
          <w:p w14:paraId="39386857" w14:textId="7777777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These studies are based on Recommendation ITU-R S.1432, in which the long-term FSS protection criterion for in-band studies is defined as follows:</w:t>
            </w:r>
          </w:p>
          <w:p w14:paraId="4407B4F6" w14:textId="77777777" w:rsidR="00955924" w:rsidRPr="005E42CC" w:rsidRDefault="00955924" w:rsidP="002D603F">
            <w:pPr>
              <w:pStyle w:val="ListParagraph"/>
              <w:numPr>
                <w:ilvl w:val="0"/>
                <w:numId w:val="3"/>
              </w:numPr>
              <w:spacing w:after="0" w:line="240" w:lineRule="auto"/>
              <w:jc w:val="both"/>
              <w:rPr>
                <w:rFonts w:eastAsia="Times New Roman" w:cs="Calibri"/>
                <w:lang w:val="en-GB"/>
              </w:rPr>
            </w:pPr>
            <w:r w:rsidRPr="005E42CC">
              <w:rPr>
                <w:rFonts w:eastAsia="Times New Roman" w:cs="Calibri"/>
                <w:lang w:val="en-GB"/>
              </w:rPr>
              <w:t xml:space="preserve">I/N = </w:t>
            </w:r>
            <w:r w:rsidRPr="005E42CC">
              <w:rPr>
                <w:rFonts w:cs="Calibri"/>
              </w:rPr>
              <w:t>–</w:t>
            </w:r>
            <w:r w:rsidRPr="005E42CC">
              <w:rPr>
                <w:rFonts w:eastAsia="Times New Roman" w:cs="Calibri"/>
                <w:lang w:val="en-GB"/>
              </w:rPr>
              <w:t>10 dB (</w:t>
            </w:r>
            <w:proofErr w:type="spellStart"/>
            <w:r w:rsidRPr="005E42CC">
              <w:rPr>
                <w:rFonts w:ascii="Gadugi" w:eastAsia="Times New Roman" w:hAnsi="Gadugi" w:cs="Gadugi"/>
                <w:lang w:val="en-GB"/>
              </w:rPr>
              <w:t>ᐃ</w:t>
            </w:r>
            <w:r w:rsidRPr="005E42CC">
              <w:rPr>
                <w:rFonts w:eastAsia="Times New Roman" w:cs="Calibri"/>
                <w:lang w:val="en-GB"/>
              </w:rPr>
              <w:t>T</w:t>
            </w:r>
            <w:proofErr w:type="spellEnd"/>
            <w:r w:rsidRPr="005E42CC">
              <w:rPr>
                <w:rFonts w:eastAsia="Times New Roman" w:cs="Calibri"/>
                <w:lang w:val="en-GB"/>
              </w:rPr>
              <w:t xml:space="preserve">/T = 10%) corresponding to the aggregate interference from co primary services for 20% of the time (long-term criteria). </w:t>
            </w:r>
          </w:p>
          <w:p w14:paraId="76B615A9" w14:textId="43DAC717" w:rsidR="00955924" w:rsidRPr="005E42CC" w:rsidRDefault="00955924" w:rsidP="002D603F">
            <w:pPr>
              <w:pStyle w:val="ListParagraph"/>
              <w:numPr>
                <w:ilvl w:val="0"/>
                <w:numId w:val="3"/>
              </w:numPr>
              <w:spacing w:after="0" w:line="240" w:lineRule="auto"/>
              <w:jc w:val="both"/>
              <w:rPr>
                <w:rFonts w:eastAsia="Times New Roman" w:cs="Calibri"/>
                <w:lang w:val="en-GB"/>
              </w:rPr>
            </w:pPr>
            <w:r w:rsidRPr="005E42CC">
              <w:rPr>
                <w:rFonts w:eastAsia="Times New Roman" w:cs="Calibri"/>
                <w:lang w:val="en-GB"/>
              </w:rPr>
              <w:t>Where N is the clear-sky satellite system noise as described in Recommendation ITU-R S.1432.</w:t>
            </w:r>
          </w:p>
          <w:p w14:paraId="3B148FA1" w14:textId="77777777" w:rsidR="00956D26" w:rsidRPr="005E42CC" w:rsidRDefault="00956D26" w:rsidP="00956D26">
            <w:pPr>
              <w:pStyle w:val="ListParagraph"/>
              <w:spacing w:after="0" w:line="240" w:lineRule="auto"/>
              <w:ind w:left="1080"/>
              <w:jc w:val="both"/>
              <w:rPr>
                <w:rFonts w:eastAsia="Times New Roman" w:cs="Calibri"/>
                <w:lang w:val="en-GB"/>
              </w:rPr>
            </w:pPr>
          </w:p>
          <w:p w14:paraId="4269DB7F" w14:textId="77777777"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Study results do not take into account the impact of other co-primary services – such as existing FS links – in the band, which in reality would contribute to the aggregate interference at the FSS ES receiver. In studies conducted in Report ITU-R S.2368, the long-term interference from any individual primary service was assumed to be limited to half of the afore mentioned value of 10% of the total noise. </w:t>
            </w:r>
          </w:p>
          <w:p w14:paraId="3325662D" w14:textId="77777777" w:rsidR="00956D26" w:rsidRPr="005E42CC" w:rsidRDefault="00956D26" w:rsidP="00362351">
            <w:pPr>
              <w:spacing w:after="0" w:line="240" w:lineRule="auto"/>
              <w:jc w:val="both"/>
              <w:rPr>
                <w:rFonts w:eastAsia="Times New Roman" w:cs="Calibri"/>
                <w:lang w:val="en-GB"/>
              </w:rPr>
            </w:pPr>
          </w:p>
          <w:p w14:paraId="4A65A5CB" w14:textId="1ED6D7E6" w:rsidR="00951940" w:rsidRPr="005E42CC" w:rsidRDefault="00955924" w:rsidP="00362351">
            <w:pPr>
              <w:spacing w:after="0" w:line="240" w:lineRule="auto"/>
              <w:jc w:val="both"/>
              <w:rPr>
                <w:rFonts w:ascii="Arial" w:eastAsia="MS Mincho" w:hAnsi="Arial" w:cs="Arial"/>
                <w:lang w:val="en-GB" w:eastAsia="ja-JP"/>
              </w:rPr>
            </w:pPr>
            <w:r w:rsidRPr="005E42CC">
              <w:rPr>
                <w:rFonts w:eastAsia="Times New Roman" w:cs="Calibri"/>
                <w:lang w:val="en-GB"/>
              </w:rPr>
              <w:t xml:space="preserve">All interference at the FSS ES receiver is considered to result from a single MS macro BS. Aggregate interference from a full MS deployment has not been considered at this point. </w:t>
            </w:r>
            <w:r w:rsidR="00951940" w:rsidRPr="005E42CC">
              <w:rPr>
                <w:rFonts w:eastAsia="MS Mincho" w:cs="Calibri"/>
                <w:lang w:val="en-GB" w:eastAsia="ja-JP"/>
              </w:rPr>
              <w:t xml:space="preserve">For these studies, only long-term interference has been considered.  </w:t>
            </w:r>
          </w:p>
          <w:p w14:paraId="36C3E440" w14:textId="77777777" w:rsidR="00956D26" w:rsidRPr="005E42CC" w:rsidRDefault="00956D26" w:rsidP="00362351">
            <w:pPr>
              <w:spacing w:after="0" w:line="240" w:lineRule="auto"/>
              <w:jc w:val="both"/>
              <w:rPr>
                <w:rFonts w:eastAsia="Times New Roman" w:cs="Calibri"/>
                <w:lang w:val="en-GB"/>
              </w:rPr>
            </w:pPr>
          </w:p>
          <w:p w14:paraId="619CFCA1" w14:textId="3CCD9B19"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Because of the ongoing discussions in ITU-R WP 4A, especially regarding adjacent band protection criteria and short-term protection criteria, only long-term in-band interference has been considered at this stage, bearing in mind that both the short-term and adjacent band criteria are also very important for the protection of FSS receiving earth stations. Complementary studies to take these into account will be conducted and contributed later during this study cycle. </w:t>
            </w:r>
          </w:p>
          <w:p w14:paraId="03694456" w14:textId="77777777" w:rsidR="00951940" w:rsidRPr="005E42CC" w:rsidRDefault="00951940" w:rsidP="00362351">
            <w:pPr>
              <w:spacing w:after="0" w:line="240" w:lineRule="auto"/>
              <w:jc w:val="both"/>
              <w:rPr>
                <w:rFonts w:eastAsia="Times New Roman" w:cs="Calibri"/>
                <w:lang w:val="en-GB"/>
              </w:rPr>
            </w:pPr>
          </w:p>
          <w:p w14:paraId="0E7609E1" w14:textId="77777777" w:rsidR="00955924" w:rsidRPr="005E42CC" w:rsidRDefault="00955924" w:rsidP="00362351">
            <w:pPr>
              <w:spacing w:after="0" w:line="240" w:lineRule="auto"/>
              <w:jc w:val="both"/>
              <w:rPr>
                <w:rFonts w:eastAsia="Times New Roman" w:cs="Calibri"/>
                <w:b/>
                <w:bCs/>
                <w:u w:val="single"/>
                <w:lang w:val="en-GB"/>
              </w:rPr>
            </w:pPr>
            <w:r w:rsidRPr="005E42CC">
              <w:rPr>
                <w:rFonts w:eastAsia="Times New Roman" w:cs="Calibri"/>
                <w:b/>
                <w:bCs/>
                <w:u w:val="single"/>
                <w:lang w:val="en-GB"/>
              </w:rPr>
              <w:t>MS Parameters and Propagation Model</w:t>
            </w:r>
          </w:p>
          <w:p w14:paraId="6165A7F8" w14:textId="72BCE7FB"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In this study, all characteristics of non-active antenna systems (non-AAS) </w:t>
            </w:r>
            <w:r w:rsidR="00956D26" w:rsidRPr="005E42CC">
              <w:rPr>
                <w:rFonts w:eastAsia="Times New Roman" w:cs="Calibri"/>
                <w:lang w:val="en-GB"/>
              </w:rPr>
              <w:t>macro-BS</w:t>
            </w:r>
            <w:r w:rsidRPr="005E42CC">
              <w:rPr>
                <w:rFonts w:eastAsia="Times New Roman" w:cs="Calibri"/>
                <w:lang w:val="en-GB"/>
              </w:rPr>
              <w:t xml:space="preserve"> have been taken from the working document being developed under Working Party 5A</w:t>
            </w:r>
            <w:r w:rsidRPr="005E42CC">
              <w:rPr>
                <w:rStyle w:val="FootnoteReference"/>
                <w:rFonts w:eastAsia="Times New Roman" w:cs="Calibri"/>
                <w:lang w:val="en-GB"/>
              </w:rPr>
              <w:footnoteReference w:id="2"/>
            </w:r>
            <w:r w:rsidRPr="005E42CC">
              <w:rPr>
                <w:rFonts w:eastAsia="Times New Roman" w:cs="Calibri"/>
                <w:lang w:val="en-GB"/>
              </w:rPr>
              <w:t xml:space="preserve">, as shown in Table </w:t>
            </w:r>
            <w:r w:rsidR="00956D26" w:rsidRPr="005E42CC">
              <w:rPr>
                <w:rFonts w:eastAsia="Times New Roman" w:cs="Calibri"/>
                <w:lang w:val="en-GB"/>
              </w:rPr>
              <w:t>2</w:t>
            </w:r>
            <w:r w:rsidRPr="005E42CC">
              <w:rPr>
                <w:rFonts w:eastAsia="Times New Roman" w:cs="Calibri"/>
                <w:lang w:val="en-GB"/>
              </w:rPr>
              <w:t>.</w:t>
            </w:r>
          </w:p>
          <w:p w14:paraId="541C7833" w14:textId="77777777" w:rsidR="00956D26" w:rsidRPr="005E42CC" w:rsidRDefault="00956D26" w:rsidP="00362351">
            <w:pPr>
              <w:spacing w:after="0" w:line="240" w:lineRule="auto"/>
              <w:jc w:val="both"/>
              <w:rPr>
                <w:rFonts w:eastAsia="Times New Roman" w:cs="Calibri"/>
                <w:lang w:val="en-GB"/>
              </w:rPr>
            </w:pPr>
          </w:p>
          <w:p w14:paraId="01789C88" w14:textId="77777777" w:rsidR="00956D26" w:rsidRPr="005E42CC" w:rsidRDefault="00956D26" w:rsidP="00362351">
            <w:pPr>
              <w:spacing w:after="0" w:line="240" w:lineRule="auto"/>
              <w:jc w:val="both"/>
              <w:rPr>
                <w:rFonts w:eastAsia="Times New Roman" w:cs="Calibri"/>
                <w:lang w:val="en-GB"/>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3204"/>
            </w:tblGrid>
            <w:tr w:rsidR="00955924" w:rsidRPr="005E42CC" w14:paraId="155F2E5F" w14:textId="77777777" w:rsidTr="00914B7A">
              <w:trPr>
                <w:trHeight w:val="432"/>
                <w:jc w:val="center"/>
              </w:trPr>
              <w:tc>
                <w:tcPr>
                  <w:tcW w:w="4626" w:type="dxa"/>
                  <w:shd w:val="clear" w:color="auto" w:fill="auto"/>
                  <w:vAlign w:val="center"/>
                  <w:hideMark/>
                </w:tcPr>
                <w:p w14:paraId="13E9CDE2" w14:textId="77777777" w:rsidR="00955924" w:rsidRPr="005E42CC" w:rsidRDefault="00955924" w:rsidP="00362351">
                  <w:pPr>
                    <w:spacing w:after="0" w:line="240" w:lineRule="auto"/>
                    <w:jc w:val="center"/>
                    <w:rPr>
                      <w:rFonts w:eastAsia="Times New Roman" w:cs="Calibri"/>
                      <w:b/>
                      <w:bCs/>
                      <w:lang w:val="en-GB"/>
                    </w:rPr>
                  </w:pPr>
                  <w:r w:rsidRPr="005E42CC">
                    <w:rPr>
                      <w:rFonts w:eastAsia="Times New Roman" w:cs="Calibri"/>
                      <w:b/>
                      <w:bCs/>
                      <w:lang w:val="en-GB"/>
                    </w:rPr>
                    <w:t>Non-AAS Macro BS Parameters</w:t>
                  </w:r>
                </w:p>
              </w:tc>
              <w:tc>
                <w:tcPr>
                  <w:tcW w:w="3204" w:type="dxa"/>
                  <w:shd w:val="clear" w:color="auto" w:fill="auto"/>
                  <w:vAlign w:val="center"/>
                  <w:hideMark/>
                </w:tcPr>
                <w:p w14:paraId="0B8C0317" w14:textId="77777777" w:rsidR="00955924" w:rsidRPr="005E42CC" w:rsidRDefault="00955924" w:rsidP="00362351">
                  <w:pPr>
                    <w:spacing w:after="0" w:line="240" w:lineRule="auto"/>
                    <w:jc w:val="center"/>
                    <w:rPr>
                      <w:rFonts w:eastAsia="Times New Roman" w:cs="Calibri"/>
                      <w:lang w:val="en-GB"/>
                    </w:rPr>
                  </w:pPr>
                </w:p>
              </w:tc>
            </w:tr>
            <w:tr w:rsidR="00951940" w:rsidRPr="005E42CC" w14:paraId="1CE14057" w14:textId="77777777" w:rsidTr="00362351">
              <w:trPr>
                <w:trHeight w:val="396"/>
                <w:jc w:val="center"/>
              </w:trPr>
              <w:tc>
                <w:tcPr>
                  <w:tcW w:w="4626" w:type="dxa"/>
                  <w:shd w:val="clear" w:color="auto" w:fill="auto"/>
                  <w:vAlign w:val="center"/>
                </w:tcPr>
                <w:p w14:paraId="114FCB3B" w14:textId="1F84393B" w:rsidR="00951940" w:rsidRPr="005E42CC" w:rsidRDefault="00951940" w:rsidP="00362351">
                  <w:pPr>
                    <w:spacing w:after="0" w:line="240" w:lineRule="auto"/>
                    <w:jc w:val="center"/>
                    <w:rPr>
                      <w:rFonts w:eastAsia="Times New Roman" w:cs="Calibri"/>
                      <w:lang w:val="en-GB"/>
                    </w:rPr>
                  </w:pPr>
                  <w:r w:rsidRPr="005E42CC">
                    <w:rPr>
                      <w:rFonts w:eastAsia="Times New Roman" w:cs="Calibri"/>
                      <w:lang w:val="en-GB"/>
                    </w:rPr>
                    <w:t>Area Resolution</w:t>
                  </w:r>
                </w:p>
              </w:tc>
              <w:tc>
                <w:tcPr>
                  <w:tcW w:w="3204" w:type="dxa"/>
                  <w:shd w:val="clear" w:color="auto" w:fill="auto"/>
                  <w:vAlign w:val="center"/>
                </w:tcPr>
                <w:p w14:paraId="3D345D04" w14:textId="3AB5F638" w:rsidR="00951940" w:rsidRPr="005E42CC" w:rsidRDefault="00951940" w:rsidP="00362351">
                  <w:pPr>
                    <w:spacing w:after="0" w:line="240" w:lineRule="auto"/>
                    <w:jc w:val="center"/>
                    <w:rPr>
                      <w:rFonts w:eastAsia="Times New Roman" w:cs="Calibri"/>
                      <w:lang w:val="en-GB"/>
                    </w:rPr>
                  </w:pPr>
                  <w:r w:rsidRPr="005E42CC">
                    <w:rPr>
                      <w:rFonts w:eastAsia="Times New Roman" w:cs="Calibri"/>
                      <w:lang w:val="en-GB"/>
                    </w:rPr>
                    <w:t>1 km</w:t>
                  </w:r>
                </w:p>
              </w:tc>
            </w:tr>
            <w:tr w:rsidR="00951940" w:rsidRPr="005E42CC" w14:paraId="77C8EC81" w14:textId="77777777" w:rsidTr="00914B7A">
              <w:trPr>
                <w:trHeight w:val="432"/>
                <w:jc w:val="center"/>
              </w:trPr>
              <w:tc>
                <w:tcPr>
                  <w:tcW w:w="4626" w:type="dxa"/>
                  <w:shd w:val="clear" w:color="auto" w:fill="auto"/>
                  <w:vAlign w:val="center"/>
                </w:tcPr>
                <w:p w14:paraId="7A1E2BC3" w14:textId="06C6CD45" w:rsidR="00951940" w:rsidRPr="005E42CC" w:rsidRDefault="00951940" w:rsidP="00362351">
                  <w:pPr>
                    <w:spacing w:after="0" w:line="240" w:lineRule="auto"/>
                    <w:jc w:val="center"/>
                    <w:rPr>
                      <w:rFonts w:eastAsia="Times New Roman" w:cs="Calibri"/>
                      <w:lang w:val="en-GB"/>
                    </w:rPr>
                  </w:pPr>
                  <w:r w:rsidRPr="005E42CC">
                    <w:rPr>
                      <w:rFonts w:eastAsia="Times New Roman" w:cs="Calibri"/>
                      <w:lang w:val="en-GB"/>
                    </w:rPr>
                    <w:t>Base Station Locations</w:t>
                  </w:r>
                </w:p>
              </w:tc>
              <w:tc>
                <w:tcPr>
                  <w:tcW w:w="3204" w:type="dxa"/>
                  <w:shd w:val="clear" w:color="auto" w:fill="auto"/>
                  <w:vAlign w:val="center"/>
                </w:tcPr>
                <w:p w14:paraId="7281C755" w14:textId="39644A7C" w:rsidR="00951940" w:rsidRPr="005E42CC" w:rsidRDefault="00951940" w:rsidP="00362351">
                  <w:pPr>
                    <w:spacing w:after="0" w:line="240" w:lineRule="auto"/>
                    <w:jc w:val="center"/>
                    <w:rPr>
                      <w:rFonts w:eastAsia="Times New Roman" w:cs="Calibri"/>
                      <w:lang w:val="en-GB"/>
                    </w:rPr>
                  </w:pPr>
                  <w:r w:rsidRPr="005E42CC">
                    <w:rPr>
                      <w:rFonts w:eastAsia="Times New Roman" w:cs="Calibri"/>
                      <w:lang w:val="en-GB"/>
                    </w:rPr>
                    <w:t xml:space="preserve">Kenya </w:t>
                  </w:r>
                </w:p>
              </w:tc>
            </w:tr>
            <w:tr w:rsidR="00955924" w:rsidRPr="005E42CC" w14:paraId="4B965CA0" w14:textId="77777777" w:rsidTr="00914B7A">
              <w:trPr>
                <w:trHeight w:val="432"/>
                <w:jc w:val="center"/>
              </w:trPr>
              <w:tc>
                <w:tcPr>
                  <w:tcW w:w="4626" w:type="dxa"/>
                  <w:shd w:val="clear" w:color="auto" w:fill="auto"/>
                  <w:vAlign w:val="center"/>
                  <w:hideMark/>
                </w:tcPr>
                <w:p w14:paraId="7F82C202"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Antenna height</w:t>
                  </w:r>
                </w:p>
              </w:tc>
              <w:tc>
                <w:tcPr>
                  <w:tcW w:w="3204" w:type="dxa"/>
                  <w:shd w:val="clear" w:color="auto" w:fill="auto"/>
                  <w:vAlign w:val="center"/>
                  <w:hideMark/>
                </w:tcPr>
                <w:p w14:paraId="5659BC37"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25 m</w:t>
                  </w:r>
                </w:p>
              </w:tc>
            </w:tr>
            <w:tr w:rsidR="00955924" w:rsidRPr="005E42CC" w14:paraId="2F912B3D" w14:textId="77777777" w:rsidTr="00914B7A">
              <w:trPr>
                <w:trHeight w:val="432"/>
                <w:jc w:val="center"/>
              </w:trPr>
              <w:tc>
                <w:tcPr>
                  <w:tcW w:w="4626" w:type="dxa"/>
                  <w:shd w:val="clear" w:color="auto" w:fill="auto"/>
                  <w:vAlign w:val="center"/>
                  <w:hideMark/>
                </w:tcPr>
                <w:p w14:paraId="626C4D60"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Sectorization</w:t>
                  </w:r>
                </w:p>
              </w:tc>
              <w:tc>
                <w:tcPr>
                  <w:tcW w:w="3204" w:type="dxa"/>
                  <w:shd w:val="clear" w:color="auto" w:fill="auto"/>
                  <w:vAlign w:val="center"/>
                  <w:hideMark/>
                </w:tcPr>
                <w:p w14:paraId="6FE14140"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3 sectors</w:t>
                  </w:r>
                </w:p>
              </w:tc>
            </w:tr>
            <w:tr w:rsidR="00955924" w:rsidRPr="005E42CC" w14:paraId="4AEF5913" w14:textId="77777777" w:rsidTr="00914B7A">
              <w:trPr>
                <w:trHeight w:val="432"/>
                <w:jc w:val="center"/>
              </w:trPr>
              <w:tc>
                <w:tcPr>
                  <w:tcW w:w="4626" w:type="dxa"/>
                  <w:shd w:val="clear" w:color="auto" w:fill="auto"/>
                  <w:vAlign w:val="center"/>
                </w:tcPr>
                <w:p w14:paraId="6F3487B8"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Antenna pattern</w:t>
                  </w:r>
                </w:p>
              </w:tc>
              <w:tc>
                <w:tcPr>
                  <w:tcW w:w="3204" w:type="dxa"/>
                  <w:shd w:val="clear" w:color="auto" w:fill="auto"/>
                  <w:vAlign w:val="center"/>
                </w:tcPr>
                <w:p w14:paraId="4D477F66"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ITU-R F.1336 (rec 3.1)</w:t>
                  </w:r>
                </w:p>
              </w:tc>
            </w:tr>
            <w:tr w:rsidR="00955924" w:rsidRPr="005E42CC" w14:paraId="5F83B4FB" w14:textId="77777777" w:rsidTr="00914B7A">
              <w:trPr>
                <w:trHeight w:val="432"/>
                <w:jc w:val="center"/>
              </w:trPr>
              <w:tc>
                <w:tcPr>
                  <w:tcW w:w="4626" w:type="dxa"/>
                  <w:shd w:val="clear" w:color="auto" w:fill="auto"/>
                  <w:vAlign w:val="center"/>
                </w:tcPr>
                <w:p w14:paraId="5B3912C1"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Antenna down tilt (◦) suburban/urban</w:t>
                  </w:r>
                </w:p>
              </w:tc>
              <w:tc>
                <w:tcPr>
                  <w:tcW w:w="3204" w:type="dxa"/>
                  <w:shd w:val="clear" w:color="auto" w:fill="auto"/>
                  <w:vAlign w:val="center"/>
                </w:tcPr>
                <w:p w14:paraId="379162AF" w14:textId="1AEBFAAE"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6°</w:t>
                  </w:r>
                </w:p>
              </w:tc>
            </w:tr>
            <w:tr w:rsidR="00955924" w:rsidRPr="005E42CC" w14:paraId="46B41326" w14:textId="77777777" w:rsidTr="00914B7A">
              <w:trPr>
                <w:trHeight w:val="432"/>
                <w:jc w:val="center"/>
              </w:trPr>
              <w:tc>
                <w:tcPr>
                  <w:tcW w:w="4626" w:type="dxa"/>
                  <w:shd w:val="clear" w:color="auto" w:fill="auto"/>
                  <w:vAlign w:val="center"/>
                  <w:hideMark/>
                </w:tcPr>
                <w:p w14:paraId="5AC2E01E"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Average BS output power (EIRP)/sector</w:t>
                  </w:r>
                </w:p>
              </w:tc>
              <w:tc>
                <w:tcPr>
                  <w:tcW w:w="3204" w:type="dxa"/>
                  <w:shd w:val="clear" w:color="auto" w:fill="auto"/>
                  <w:vAlign w:val="center"/>
                  <w:hideMark/>
                </w:tcPr>
                <w:p w14:paraId="011CBE10"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64 dBm</w:t>
                  </w:r>
                </w:p>
              </w:tc>
            </w:tr>
            <w:tr w:rsidR="00955924" w:rsidRPr="005E42CC" w14:paraId="1D8EB36A" w14:textId="77777777" w:rsidTr="00914B7A">
              <w:trPr>
                <w:trHeight w:val="432"/>
                <w:jc w:val="center"/>
              </w:trPr>
              <w:tc>
                <w:tcPr>
                  <w:tcW w:w="4626" w:type="dxa"/>
                  <w:shd w:val="clear" w:color="auto" w:fill="auto"/>
                  <w:vAlign w:val="center"/>
                  <w:hideMark/>
                </w:tcPr>
                <w:p w14:paraId="054F8083"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Antenna gain</w:t>
                  </w:r>
                </w:p>
              </w:tc>
              <w:tc>
                <w:tcPr>
                  <w:tcW w:w="3204" w:type="dxa"/>
                  <w:shd w:val="clear" w:color="auto" w:fill="auto"/>
                  <w:vAlign w:val="center"/>
                  <w:hideMark/>
                </w:tcPr>
                <w:p w14:paraId="5601C927"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 xml:space="preserve">18 </w:t>
                  </w:r>
                  <w:proofErr w:type="spellStart"/>
                  <w:r w:rsidRPr="005E42CC">
                    <w:rPr>
                      <w:rFonts w:eastAsia="Times New Roman" w:cs="Calibri"/>
                      <w:lang w:val="en-GB"/>
                    </w:rPr>
                    <w:t>dBi</w:t>
                  </w:r>
                  <w:proofErr w:type="spellEnd"/>
                </w:p>
              </w:tc>
            </w:tr>
            <w:tr w:rsidR="00955924" w:rsidRPr="005E42CC" w14:paraId="394754E8" w14:textId="77777777" w:rsidTr="00914B7A">
              <w:trPr>
                <w:trHeight w:val="432"/>
                <w:jc w:val="center"/>
              </w:trPr>
              <w:tc>
                <w:tcPr>
                  <w:tcW w:w="4626" w:type="dxa"/>
                  <w:shd w:val="clear" w:color="auto" w:fill="auto"/>
                  <w:vAlign w:val="center"/>
                  <w:hideMark/>
                </w:tcPr>
                <w:p w14:paraId="06859F9C"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Maximum BS output power</w:t>
                  </w:r>
                </w:p>
              </w:tc>
              <w:tc>
                <w:tcPr>
                  <w:tcW w:w="3204" w:type="dxa"/>
                  <w:shd w:val="clear" w:color="auto" w:fill="auto"/>
                  <w:vAlign w:val="center"/>
                  <w:hideMark/>
                </w:tcPr>
                <w:p w14:paraId="4F48DCB1"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64 dBm</w:t>
                  </w:r>
                </w:p>
              </w:tc>
            </w:tr>
            <w:tr w:rsidR="00955924" w:rsidRPr="005E42CC" w14:paraId="1B9A8008" w14:textId="77777777" w:rsidTr="00914B7A">
              <w:trPr>
                <w:trHeight w:val="432"/>
                <w:jc w:val="center"/>
              </w:trPr>
              <w:tc>
                <w:tcPr>
                  <w:tcW w:w="4626" w:type="dxa"/>
                  <w:shd w:val="clear" w:color="auto" w:fill="auto"/>
                  <w:vAlign w:val="center"/>
                  <w:hideMark/>
                </w:tcPr>
                <w:p w14:paraId="0091239F"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Bandwidth</w:t>
                  </w:r>
                </w:p>
              </w:tc>
              <w:tc>
                <w:tcPr>
                  <w:tcW w:w="3204" w:type="dxa"/>
                  <w:shd w:val="clear" w:color="auto" w:fill="auto"/>
                  <w:vAlign w:val="center"/>
                  <w:hideMark/>
                </w:tcPr>
                <w:p w14:paraId="5B104E59" w14:textId="77777777" w:rsidR="00955924" w:rsidRPr="005E42CC" w:rsidRDefault="00955924" w:rsidP="00362351">
                  <w:pPr>
                    <w:spacing w:after="0" w:line="240" w:lineRule="auto"/>
                    <w:jc w:val="center"/>
                    <w:rPr>
                      <w:rFonts w:eastAsia="Times New Roman" w:cs="Calibri"/>
                      <w:lang w:val="en-GB"/>
                    </w:rPr>
                  </w:pPr>
                  <w:r w:rsidRPr="005E42CC">
                    <w:rPr>
                      <w:rFonts w:eastAsia="Times New Roman" w:cs="Calibri"/>
                      <w:lang w:val="en-GB"/>
                    </w:rPr>
                    <w:t>40 MHz</w:t>
                  </w:r>
                </w:p>
              </w:tc>
            </w:tr>
          </w:tbl>
          <w:p w14:paraId="112E6DBA" w14:textId="31C0E2FC" w:rsidR="00955924" w:rsidRPr="005E42CC" w:rsidRDefault="00955924" w:rsidP="00362351">
            <w:pPr>
              <w:spacing w:after="0" w:line="240" w:lineRule="auto"/>
              <w:jc w:val="center"/>
              <w:rPr>
                <w:rFonts w:cs="Calibri"/>
                <w:b/>
                <w:lang w:val="en-GB"/>
              </w:rPr>
            </w:pPr>
            <w:r w:rsidRPr="005E42CC">
              <w:rPr>
                <w:rFonts w:eastAsia="Times New Roman" w:cs="Calibri"/>
                <w:b/>
                <w:bCs/>
                <w:sz w:val="20"/>
                <w:szCs w:val="20"/>
                <w:lang w:val="en-GB"/>
              </w:rPr>
              <w:t xml:space="preserve">Table </w:t>
            </w:r>
            <w:r w:rsidR="00956D26" w:rsidRPr="005E42CC">
              <w:rPr>
                <w:rFonts w:eastAsia="Times New Roman" w:cs="Calibri"/>
                <w:b/>
                <w:bCs/>
                <w:sz w:val="20"/>
                <w:szCs w:val="20"/>
                <w:lang w:val="en-GB"/>
              </w:rPr>
              <w:t>2</w:t>
            </w:r>
            <w:r w:rsidRPr="005E42CC">
              <w:rPr>
                <w:rFonts w:eastAsia="Times New Roman" w:cs="Calibri"/>
                <w:b/>
                <w:bCs/>
                <w:sz w:val="20"/>
                <w:szCs w:val="20"/>
                <w:lang w:val="en-GB"/>
              </w:rPr>
              <w:t>: MS parameters used for simulations.</w:t>
            </w:r>
          </w:p>
          <w:p w14:paraId="7945245A" w14:textId="6C909C22" w:rsidR="00FB21B7" w:rsidRPr="005E42CC" w:rsidRDefault="00FB21B7" w:rsidP="00362351">
            <w:pPr>
              <w:autoSpaceDE w:val="0"/>
              <w:autoSpaceDN w:val="0"/>
              <w:adjustRightInd w:val="0"/>
              <w:spacing w:after="0" w:line="240" w:lineRule="auto"/>
              <w:jc w:val="both"/>
              <w:rPr>
                <w:rFonts w:cs="Calibri"/>
                <w:sz w:val="20"/>
                <w:szCs w:val="20"/>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960"/>
            </w:tblGrid>
            <w:tr w:rsidR="00955924" w:rsidRPr="005E42CC" w14:paraId="380BA232" w14:textId="77777777" w:rsidTr="003B23B8">
              <w:trPr>
                <w:trHeight w:val="400"/>
              </w:trPr>
              <w:tc>
                <w:tcPr>
                  <w:tcW w:w="3870" w:type="dxa"/>
                  <w:shd w:val="clear" w:color="auto" w:fill="auto"/>
                </w:tcPr>
                <w:p w14:paraId="231288A5" w14:textId="77777777" w:rsidR="00955924" w:rsidRPr="005E42CC" w:rsidRDefault="00955924" w:rsidP="00362351">
                  <w:pPr>
                    <w:spacing w:after="0" w:line="240" w:lineRule="auto"/>
                    <w:rPr>
                      <w:rFonts w:eastAsia="Times New Roman" w:cs="Calibri"/>
                      <w:lang w:val="en-GB"/>
                    </w:rPr>
                  </w:pPr>
                  <w:r w:rsidRPr="005E42CC">
                    <w:rPr>
                      <w:rFonts w:eastAsia="Times New Roman" w:cs="Calibri"/>
                      <w:lang w:val="en-GB"/>
                    </w:rPr>
                    <w:t>Propagation model</w:t>
                  </w:r>
                </w:p>
              </w:tc>
              <w:tc>
                <w:tcPr>
                  <w:tcW w:w="3960" w:type="dxa"/>
                  <w:shd w:val="clear" w:color="auto" w:fill="auto"/>
                </w:tcPr>
                <w:p w14:paraId="1910E41B" w14:textId="77777777" w:rsidR="00955924" w:rsidRPr="005E42CC" w:rsidRDefault="00955924" w:rsidP="00362351">
                  <w:pPr>
                    <w:spacing w:after="0" w:line="240" w:lineRule="auto"/>
                    <w:rPr>
                      <w:rFonts w:eastAsia="Times New Roman" w:cs="Calibri"/>
                      <w:lang w:val="en-GB"/>
                    </w:rPr>
                  </w:pPr>
                  <w:r w:rsidRPr="005E42CC">
                    <w:rPr>
                      <w:rFonts w:eastAsia="Times New Roman" w:cs="Calibri"/>
                      <w:lang w:val="en-GB"/>
                    </w:rPr>
                    <w:t>Rec. ITU-R P.452</w:t>
                  </w:r>
                </w:p>
              </w:tc>
            </w:tr>
            <w:tr w:rsidR="00955924" w:rsidRPr="005E42CC" w14:paraId="5AF57C60" w14:textId="77777777" w:rsidTr="003B23B8">
              <w:trPr>
                <w:trHeight w:val="278"/>
              </w:trPr>
              <w:tc>
                <w:tcPr>
                  <w:tcW w:w="3870" w:type="dxa"/>
                  <w:shd w:val="clear" w:color="auto" w:fill="auto"/>
                </w:tcPr>
                <w:p w14:paraId="315A2F75" w14:textId="77777777" w:rsidR="00955924" w:rsidRPr="005E42CC" w:rsidRDefault="00955924" w:rsidP="00362351">
                  <w:pPr>
                    <w:spacing w:after="0" w:line="240" w:lineRule="auto"/>
                    <w:rPr>
                      <w:rFonts w:eastAsia="Times New Roman" w:cs="Calibri"/>
                      <w:lang w:val="en-GB"/>
                    </w:rPr>
                  </w:pPr>
                  <w:r w:rsidRPr="005E42CC">
                    <w:rPr>
                      <w:rFonts w:eastAsia="Times New Roman" w:cs="Calibri"/>
                      <w:lang w:val="en-GB"/>
                    </w:rPr>
                    <w:t xml:space="preserve">Terrain </w:t>
                  </w:r>
                </w:p>
              </w:tc>
              <w:tc>
                <w:tcPr>
                  <w:tcW w:w="3960" w:type="dxa"/>
                  <w:shd w:val="clear" w:color="auto" w:fill="auto"/>
                </w:tcPr>
                <w:p w14:paraId="6BDB666E" w14:textId="77777777" w:rsidR="00955924" w:rsidRPr="005E42CC" w:rsidRDefault="00955924" w:rsidP="00362351">
                  <w:pPr>
                    <w:spacing w:after="0" w:line="240" w:lineRule="auto"/>
                    <w:rPr>
                      <w:rFonts w:eastAsia="Times New Roman" w:cs="Calibri"/>
                      <w:lang w:val="en-GB"/>
                    </w:rPr>
                  </w:pPr>
                  <w:r w:rsidRPr="005E42CC">
                    <w:rPr>
                      <w:rFonts w:eastAsia="Times New Roman" w:cs="Calibri"/>
                      <w:lang w:val="en-GB"/>
                    </w:rPr>
                    <w:t>Actual terrain profile</w:t>
                  </w:r>
                </w:p>
              </w:tc>
            </w:tr>
            <w:tr w:rsidR="003B23B8" w:rsidRPr="005E42CC" w14:paraId="5A500969" w14:textId="77777777" w:rsidTr="003B23B8">
              <w:trPr>
                <w:trHeight w:val="491"/>
              </w:trPr>
              <w:tc>
                <w:tcPr>
                  <w:tcW w:w="3870" w:type="dxa"/>
                  <w:shd w:val="clear" w:color="auto" w:fill="E7E6E6" w:themeFill="background2"/>
                </w:tcPr>
                <w:p w14:paraId="2F94F4CF" w14:textId="1480EEB1" w:rsidR="003B23B8" w:rsidRPr="005E42CC" w:rsidRDefault="003B23B8" w:rsidP="00362351">
                  <w:pPr>
                    <w:spacing w:after="0" w:line="240" w:lineRule="auto"/>
                    <w:rPr>
                      <w:rFonts w:eastAsia="Times New Roman" w:cs="Calibri"/>
                      <w:lang w:val="en-GB"/>
                    </w:rPr>
                  </w:pPr>
                  <w:proofErr w:type="spellStart"/>
                  <w:r w:rsidRPr="005E42CC">
                    <w:rPr>
                      <w:rFonts w:eastAsiaTheme="minorEastAsia" w:cs="Arial"/>
                      <w:b/>
                      <w:bCs/>
                      <w:sz w:val="20"/>
                      <w:szCs w:val="20"/>
                      <w:lang w:val="en-GB"/>
                    </w:rPr>
                    <w:t>Lodwar</w:t>
                  </w:r>
                  <w:proofErr w:type="spellEnd"/>
                  <w:r w:rsidRPr="005E42CC">
                    <w:rPr>
                      <w:rFonts w:eastAsiaTheme="minorEastAsia" w:cs="Arial"/>
                      <w:b/>
                      <w:bCs/>
                      <w:sz w:val="20"/>
                      <w:szCs w:val="20"/>
                      <w:lang w:val="en-GB"/>
                    </w:rPr>
                    <w:t xml:space="preserve">, </w:t>
                  </w:r>
                  <w:proofErr w:type="spellStart"/>
                  <w:r w:rsidRPr="005E42CC">
                    <w:rPr>
                      <w:rFonts w:eastAsiaTheme="minorEastAsia" w:cs="Arial"/>
                      <w:b/>
                      <w:bCs/>
                      <w:sz w:val="20"/>
                      <w:szCs w:val="20"/>
                      <w:lang w:val="en-GB"/>
                    </w:rPr>
                    <w:t>Isiolo</w:t>
                  </w:r>
                  <w:proofErr w:type="spellEnd"/>
                  <w:r w:rsidRPr="005E42CC">
                    <w:rPr>
                      <w:rFonts w:eastAsiaTheme="minorEastAsia" w:cs="Arial"/>
                      <w:b/>
                      <w:bCs/>
                      <w:sz w:val="20"/>
                      <w:szCs w:val="20"/>
                      <w:lang w:val="en-GB"/>
                    </w:rPr>
                    <w:t xml:space="preserve"> County and Tana River</w:t>
                  </w:r>
                </w:p>
              </w:tc>
              <w:tc>
                <w:tcPr>
                  <w:tcW w:w="3960" w:type="dxa"/>
                  <w:shd w:val="clear" w:color="auto" w:fill="E7E6E6" w:themeFill="background2"/>
                </w:tcPr>
                <w:p w14:paraId="00806FDC" w14:textId="77777777" w:rsidR="003B23B8" w:rsidRPr="005E42CC" w:rsidRDefault="003B23B8" w:rsidP="00362351">
                  <w:pPr>
                    <w:spacing w:after="0" w:line="240" w:lineRule="auto"/>
                    <w:rPr>
                      <w:rFonts w:eastAsia="Times New Roman" w:cs="Calibri"/>
                      <w:lang w:val="en-GB"/>
                    </w:rPr>
                  </w:pPr>
                </w:p>
              </w:tc>
            </w:tr>
            <w:tr w:rsidR="003B23B8" w:rsidRPr="005E42CC" w14:paraId="58F48300" w14:textId="77777777" w:rsidTr="003B23B8">
              <w:trPr>
                <w:trHeight w:val="346"/>
              </w:trPr>
              <w:tc>
                <w:tcPr>
                  <w:tcW w:w="3870" w:type="dxa"/>
                  <w:shd w:val="clear" w:color="auto" w:fill="auto"/>
                </w:tcPr>
                <w:p w14:paraId="16B156CE" w14:textId="77777777" w:rsidR="003B23B8" w:rsidRPr="005E42CC" w:rsidRDefault="003B23B8" w:rsidP="00362351">
                  <w:pPr>
                    <w:spacing w:after="0" w:line="240" w:lineRule="auto"/>
                    <w:rPr>
                      <w:rFonts w:eastAsia="Times New Roman" w:cs="Calibri"/>
                      <w:lang w:val="en-GB"/>
                    </w:rPr>
                  </w:pPr>
                  <w:r w:rsidRPr="005E42CC">
                    <w:rPr>
                      <w:rFonts w:eastAsia="Times New Roman" w:cs="Calibri"/>
                      <w:lang w:val="en-GB"/>
                    </w:rPr>
                    <w:t>Clutter category</w:t>
                  </w:r>
                </w:p>
              </w:tc>
              <w:tc>
                <w:tcPr>
                  <w:tcW w:w="3960" w:type="dxa"/>
                  <w:shd w:val="clear" w:color="auto" w:fill="auto"/>
                </w:tcPr>
                <w:p w14:paraId="2C5BCDD7" w14:textId="30B79A7D" w:rsidR="003B23B8" w:rsidRPr="005E42CC" w:rsidRDefault="003B23B8" w:rsidP="00362351">
                  <w:pPr>
                    <w:spacing w:after="0" w:line="240" w:lineRule="auto"/>
                    <w:rPr>
                      <w:rFonts w:eastAsia="Times New Roman" w:cs="Calibri"/>
                      <w:lang w:val="en-GB"/>
                    </w:rPr>
                  </w:pPr>
                  <w:r w:rsidRPr="005E42CC">
                    <w:rPr>
                      <w:rFonts w:eastAsia="Times New Roman" w:cs="Calibri"/>
                      <w:lang w:val="en-GB"/>
                    </w:rPr>
                    <w:t>TX: Suburban Rx: Suburban</w:t>
                  </w:r>
                </w:p>
              </w:tc>
            </w:tr>
            <w:tr w:rsidR="003B23B8" w:rsidRPr="005E42CC" w14:paraId="1F5DCCD6" w14:textId="77777777" w:rsidTr="003B23B8">
              <w:trPr>
                <w:trHeight w:val="266"/>
              </w:trPr>
              <w:tc>
                <w:tcPr>
                  <w:tcW w:w="3870" w:type="dxa"/>
                  <w:shd w:val="clear" w:color="auto" w:fill="auto"/>
                </w:tcPr>
                <w:p w14:paraId="3752854C" w14:textId="77777777" w:rsidR="003B23B8" w:rsidRPr="005E42CC" w:rsidRDefault="003B23B8" w:rsidP="00362351">
                  <w:pPr>
                    <w:pStyle w:val="Tabletext"/>
                    <w:tabs>
                      <w:tab w:val="clear" w:pos="1985"/>
                      <w:tab w:val="clear" w:pos="2268"/>
                      <w:tab w:val="clear" w:pos="2552"/>
                      <w:tab w:val="clear" w:pos="2835"/>
                      <w:tab w:val="clear" w:pos="3119"/>
                      <w:tab w:val="clear" w:pos="3402"/>
                      <w:tab w:val="clear" w:pos="3686"/>
                      <w:tab w:val="clear" w:pos="3969"/>
                      <w:tab w:val="left" w:pos="3165"/>
                    </w:tabs>
                    <w:spacing w:before="0" w:after="0"/>
                    <w:rPr>
                      <w:rFonts w:ascii="Calibri" w:hAnsi="Calibri" w:cs="Calibri"/>
                      <w:sz w:val="22"/>
                      <w:szCs w:val="22"/>
                    </w:rPr>
                  </w:pPr>
                  <w:r w:rsidRPr="005E42CC">
                    <w:rPr>
                      <w:rFonts w:ascii="Calibri" w:hAnsi="Calibri" w:cs="Calibri"/>
                      <w:sz w:val="22"/>
                      <w:szCs w:val="22"/>
                    </w:rPr>
                    <w:t>Nominal height (m)</w:t>
                  </w:r>
                  <w:r w:rsidRPr="005E42CC">
                    <w:rPr>
                      <w:rFonts w:ascii="Calibri" w:hAnsi="Calibri" w:cs="Calibri"/>
                      <w:sz w:val="22"/>
                      <w:szCs w:val="22"/>
                    </w:rPr>
                    <w:tab/>
                  </w:r>
                  <w:r w:rsidRPr="005E42CC">
                    <w:rPr>
                      <w:rFonts w:ascii="Calibri" w:hAnsi="Calibri" w:cs="Calibri"/>
                      <w:sz w:val="22"/>
                      <w:szCs w:val="22"/>
                    </w:rPr>
                    <w:tab/>
                  </w:r>
                </w:p>
              </w:tc>
              <w:tc>
                <w:tcPr>
                  <w:tcW w:w="3960" w:type="dxa"/>
                  <w:shd w:val="clear" w:color="auto" w:fill="auto"/>
                </w:tcPr>
                <w:p w14:paraId="73D07678" w14:textId="77777777" w:rsidR="003B23B8" w:rsidRPr="005E42CC" w:rsidRDefault="003B23B8" w:rsidP="00362351">
                  <w:pPr>
                    <w:spacing w:after="0" w:line="240" w:lineRule="auto"/>
                    <w:rPr>
                      <w:rFonts w:eastAsia="Times New Roman" w:cs="Calibri"/>
                      <w:lang w:val="en-GB"/>
                    </w:rPr>
                  </w:pPr>
                  <w:r w:rsidRPr="005E42CC">
                    <w:rPr>
                      <w:rFonts w:eastAsia="Times New Roman" w:cs="Calibri"/>
                      <w:lang w:val="en-GB"/>
                    </w:rPr>
                    <w:t>9</w:t>
                  </w:r>
                </w:p>
              </w:tc>
            </w:tr>
            <w:tr w:rsidR="003B23B8" w:rsidRPr="005E42CC" w14:paraId="7A487D6F" w14:textId="77777777" w:rsidTr="003B23B8">
              <w:trPr>
                <w:trHeight w:val="269"/>
              </w:trPr>
              <w:tc>
                <w:tcPr>
                  <w:tcW w:w="3870" w:type="dxa"/>
                  <w:shd w:val="clear" w:color="auto" w:fill="auto"/>
                </w:tcPr>
                <w:p w14:paraId="6C87EF4D" w14:textId="77777777" w:rsidR="003B23B8" w:rsidRPr="005E42CC" w:rsidRDefault="003B23B8" w:rsidP="00362351">
                  <w:pPr>
                    <w:pStyle w:val="Tabletext"/>
                    <w:spacing w:before="0" w:after="0"/>
                    <w:rPr>
                      <w:rFonts w:ascii="Calibri" w:hAnsi="Calibri" w:cs="Calibri"/>
                      <w:sz w:val="22"/>
                      <w:szCs w:val="22"/>
                    </w:rPr>
                  </w:pPr>
                  <w:r w:rsidRPr="005E42CC">
                    <w:rPr>
                      <w:rFonts w:ascii="Calibri" w:hAnsi="Calibri" w:cs="Calibri"/>
                      <w:sz w:val="22"/>
                      <w:szCs w:val="22"/>
                    </w:rPr>
                    <w:t>Nominal distance (km)</w:t>
                  </w:r>
                </w:p>
              </w:tc>
              <w:tc>
                <w:tcPr>
                  <w:tcW w:w="3960" w:type="dxa"/>
                  <w:shd w:val="clear" w:color="auto" w:fill="auto"/>
                </w:tcPr>
                <w:p w14:paraId="35F45AB4" w14:textId="77777777" w:rsidR="003B23B8" w:rsidRPr="005E42CC" w:rsidRDefault="003B23B8" w:rsidP="00362351">
                  <w:pPr>
                    <w:spacing w:after="0" w:line="240" w:lineRule="auto"/>
                    <w:rPr>
                      <w:rFonts w:eastAsia="Times New Roman" w:cs="Calibri"/>
                      <w:lang w:val="en-GB"/>
                    </w:rPr>
                  </w:pPr>
                  <w:r w:rsidRPr="005E42CC">
                    <w:rPr>
                      <w:rFonts w:eastAsia="Times New Roman" w:cs="Calibri"/>
                      <w:lang w:val="en-GB"/>
                    </w:rPr>
                    <w:t>0.025</w:t>
                  </w:r>
                </w:p>
              </w:tc>
            </w:tr>
            <w:tr w:rsidR="003B23B8" w:rsidRPr="005E42CC" w14:paraId="1790AA11" w14:textId="77777777" w:rsidTr="003B23B8">
              <w:trPr>
                <w:trHeight w:val="416"/>
              </w:trPr>
              <w:tc>
                <w:tcPr>
                  <w:tcW w:w="3870" w:type="dxa"/>
                  <w:shd w:val="clear" w:color="auto" w:fill="E7E6E6" w:themeFill="background2"/>
                </w:tcPr>
                <w:p w14:paraId="4C14BE2A" w14:textId="20798329" w:rsidR="003B23B8" w:rsidRPr="005E42CC" w:rsidRDefault="003B23B8" w:rsidP="00362351">
                  <w:pPr>
                    <w:pStyle w:val="Tabletext"/>
                    <w:spacing w:before="0" w:after="0"/>
                    <w:rPr>
                      <w:rFonts w:ascii="Calibri" w:hAnsi="Calibri" w:cs="Calibri"/>
                      <w:sz w:val="22"/>
                      <w:szCs w:val="22"/>
                    </w:rPr>
                  </w:pPr>
                  <w:r w:rsidRPr="005E42CC">
                    <w:rPr>
                      <w:rFonts w:cs="Arial"/>
                      <w:b/>
                      <w:bCs/>
                    </w:rPr>
                    <w:t>Nairobi</w:t>
                  </w:r>
                </w:p>
              </w:tc>
              <w:tc>
                <w:tcPr>
                  <w:tcW w:w="3960" w:type="dxa"/>
                  <w:shd w:val="clear" w:color="auto" w:fill="E7E6E6" w:themeFill="background2"/>
                </w:tcPr>
                <w:p w14:paraId="52D02E65" w14:textId="3B4EB5C5" w:rsidR="003B23B8" w:rsidRPr="005E42CC" w:rsidRDefault="003B23B8" w:rsidP="00362351">
                  <w:pPr>
                    <w:spacing w:after="0" w:line="240" w:lineRule="auto"/>
                    <w:rPr>
                      <w:rFonts w:eastAsia="Times New Roman" w:cs="Calibri"/>
                      <w:lang w:val="en-GB"/>
                    </w:rPr>
                  </w:pPr>
                </w:p>
              </w:tc>
            </w:tr>
            <w:tr w:rsidR="003B23B8" w:rsidRPr="005E42CC" w14:paraId="7DE6365E" w14:textId="77777777" w:rsidTr="003B23B8">
              <w:trPr>
                <w:trHeight w:val="279"/>
              </w:trPr>
              <w:tc>
                <w:tcPr>
                  <w:tcW w:w="3870" w:type="dxa"/>
                  <w:shd w:val="clear" w:color="auto" w:fill="auto"/>
                </w:tcPr>
                <w:p w14:paraId="098E96C8" w14:textId="7CB049D4" w:rsidR="003B23B8" w:rsidRPr="005E42CC" w:rsidRDefault="003B23B8" w:rsidP="00362351">
                  <w:pPr>
                    <w:pStyle w:val="Tabletext"/>
                    <w:spacing w:before="0" w:after="0"/>
                    <w:rPr>
                      <w:rFonts w:ascii="Calibri" w:hAnsi="Calibri" w:cs="Calibri"/>
                      <w:sz w:val="22"/>
                      <w:szCs w:val="22"/>
                    </w:rPr>
                  </w:pPr>
                  <w:r w:rsidRPr="005E42CC">
                    <w:rPr>
                      <w:rFonts w:ascii="Arial" w:hAnsi="Arial" w:cs="Arial"/>
                      <w:color w:val="000000"/>
                    </w:rPr>
                    <w:t>Clutter category</w:t>
                  </w:r>
                </w:p>
              </w:tc>
              <w:tc>
                <w:tcPr>
                  <w:tcW w:w="3960" w:type="dxa"/>
                  <w:shd w:val="clear" w:color="auto" w:fill="auto"/>
                </w:tcPr>
                <w:p w14:paraId="3E3B2423" w14:textId="120D4641" w:rsidR="003B23B8" w:rsidRPr="005E42CC" w:rsidRDefault="003B23B8" w:rsidP="00362351">
                  <w:pPr>
                    <w:spacing w:after="0" w:line="240" w:lineRule="auto"/>
                    <w:rPr>
                      <w:rFonts w:eastAsia="Times New Roman" w:cs="Calibri"/>
                      <w:lang w:val="en-GB"/>
                    </w:rPr>
                  </w:pPr>
                  <w:r w:rsidRPr="005E42CC">
                    <w:rPr>
                      <w:rFonts w:eastAsia="Times New Roman" w:cs="Arial"/>
                      <w:color w:val="000000"/>
                      <w:sz w:val="20"/>
                      <w:szCs w:val="20"/>
                      <w:lang w:val="en-GB"/>
                    </w:rPr>
                    <w:t>Tx: Urban, Rx: Urban</w:t>
                  </w:r>
                </w:p>
              </w:tc>
            </w:tr>
            <w:tr w:rsidR="003B23B8" w:rsidRPr="005E42CC" w14:paraId="7C94EE53" w14:textId="77777777" w:rsidTr="003B23B8">
              <w:trPr>
                <w:trHeight w:val="270"/>
              </w:trPr>
              <w:tc>
                <w:tcPr>
                  <w:tcW w:w="3870" w:type="dxa"/>
                  <w:shd w:val="clear" w:color="auto" w:fill="auto"/>
                </w:tcPr>
                <w:p w14:paraId="5C7E3A45" w14:textId="7887E8C0" w:rsidR="003B23B8" w:rsidRPr="005E42CC" w:rsidRDefault="003B23B8" w:rsidP="00362351">
                  <w:pPr>
                    <w:pStyle w:val="Tabletext"/>
                    <w:spacing w:before="0" w:after="0"/>
                    <w:rPr>
                      <w:rFonts w:ascii="Arial" w:hAnsi="Arial" w:cs="Arial"/>
                      <w:color w:val="000000"/>
                    </w:rPr>
                  </w:pPr>
                  <w:r w:rsidRPr="005E42CC">
                    <w:rPr>
                      <w:rFonts w:ascii="Arial" w:hAnsi="Arial" w:cs="Arial"/>
                      <w:color w:val="000000"/>
                    </w:rPr>
                    <w:t>Nominal height (m)</w:t>
                  </w:r>
                </w:p>
              </w:tc>
              <w:tc>
                <w:tcPr>
                  <w:tcW w:w="3960" w:type="dxa"/>
                  <w:shd w:val="clear" w:color="auto" w:fill="auto"/>
                </w:tcPr>
                <w:p w14:paraId="718E5662" w14:textId="10F8FEAC" w:rsidR="003B23B8" w:rsidRPr="005E42CC" w:rsidRDefault="003B23B8" w:rsidP="00362351">
                  <w:pPr>
                    <w:spacing w:after="0" w:line="240" w:lineRule="auto"/>
                    <w:rPr>
                      <w:rFonts w:eastAsia="Times New Roman" w:cs="Arial"/>
                      <w:color w:val="000000"/>
                      <w:sz w:val="20"/>
                      <w:szCs w:val="20"/>
                      <w:lang w:val="en-GB"/>
                    </w:rPr>
                  </w:pPr>
                  <w:r w:rsidRPr="005E42CC">
                    <w:rPr>
                      <w:rFonts w:eastAsia="Times New Roman" w:cs="Arial"/>
                      <w:color w:val="000000"/>
                      <w:sz w:val="20"/>
                      <w:szCs w:val="20"/>
                      <w:lang w:val="en-GB"/>
                    </w:rPr>
                    <w:t>20</w:t>
                  </w:r>
                </w:p>
              </w:tc>
            </w:tr>
            <w:tr w:rsidR="003B23B8" w:rsidRPr="005E42CC" w14:paraId="131CC879" w14:textId="77777777" w:rsidTr="003B23B8">
              <w:trPr>
                <w:trHeight w:val="273"/>
              </w:trPr>
              <w:tc>
                <w:tcPr>
                  <w:tcW w:w="3870" w:type="dxa"/>
                  <w:shd w:val="clear" w:color="auto" w:fill="auto"/>
                </w:tcPr>
                <w:p w14:paraId="03E68FD5" w14:textId="1D57F27F" w:rsidR="003B23B8" w:rsidRPr="005E42CC" w:rsidRDefault="003B23B8" w:rsidP="00362351">
                  <w:pPr>
                    <w:pStyle w:val="Tabletext"/>
                    <w:spacing w:before="0" w:after="0"/>
                    <w:rPr>
                      <w:rFonts w:ascii="Arial" w:hAnsi="Arial" w:cs="Arial"/>
                      <w:color w:val="000000"/>
                    </w:rPr>
                  </w:pPr>
                  <w:r w:rsidRPr="005E42CC">
                    <w:rPr>
                      <w:rFonts w:ascii="Arial" w:hAnsi="Arial" w:cs="Arial"/>
                      <w:color w:val="000000"/>
                    </w:rPr>
                    <w:t>Nominal distance (km)</w:t>
                  </w:r>
                </w:p>
              </w:tc>
              <w:tc>
                <w:tcPr>
                  <w:tcW w:w="3960" w:type="dxa"/>
                  <w:shd w:val="clear" w:color="auto" w:fill="auto"/>
                </w:tcPr>
                <w:p w14:paraId="3F28965A" w14:textId="51FEBE0A" w:rsidR="003B23B8" w:rsidRPr="005E42CC" w:rsidRDefault="003B23B8" w:rsidP="00362351">
                  <w:pPr>
                    <w:spacing w:after="0" w:line="240" w:lineRule="auto"/>
                    <w:rPr>
                      <w:rFonts w:eastAsia="Times New Roman" w:cs="Arial"/>
                      <w:color w:val="000000"/>
                      <w:sz w:val="20"/>
                      <w:szCs w:val="20"/>
                      <w:lang w:val="en-GB"/>
                    </w:rPr>
                  </w:pPr>
                  <w:r w:rsidRPr="005E42CC">
                    <w:rPr>
                      <w:rFonts w:eastAsia="Times New Roman" w:cs="Arial"/>
                      <w:color w:val="000000"/>
                      <w:sz w:val="20"/>
                      <w:szCs w:val="20"/>
                      <w:lang w:val="en-GB"/>
                    </w:rPr>
                    <w:t>0.02</w:t>
                  </w:r>
                </w:p>
              </w:tc>
            </w:tr>
          </w:tbl>
          <w:p w14:paraId="1B392646" w14:textId="15DE79B7" w:rsidR="00955924" w:rsidRPr="005E42CC" w:rsidRDefault="00955924" w:rsidP="00362351">
            <w:pPr>
              <w:pStyle w:val="Tablehead"/>
              <w:spacing w:before="0" w:after="0"/>
              <w:rPr>
                <w:rFonts w:ascii="Calibri" w:hAnsi="Calibri" w:cs="Calibri"/>
                <w:bCs/>
                <w:sz w:val="20"/>
                <w:lang w:val="en-GB"/>
              </w:rPr>
            </w:pPr>
            <w:r w:rsidRPr="005E42CC">
              <w:rPr>
                <w:rFonts w:ascii="Calibri" w:hAnsi="Calibri" w:cs="Calibri"/>
                <w:bCs/>
                <w:sz w:val="20"/>
                <w:lang w:val="en-GB"/>
              </w:rPr>
              <w:t xml:space="preserve">Table </w:t>
            </w:r>
            <w:r w:rsidR="00956D26" w:rsidRPr="005E42CC">
              <w:rPr>
                <w:rFonts w:ascii="Calibri" w:hAnsi="Calibri" w:cs="Calibri"/>
                <w:bCs/>
                <w:sz w:val="20"/>
                <w:lang w:val="en-GB"/>
              </w:rPr>
              <w:t>3</w:t>
            </w:r>
            <w:r w:rsidRPr="005E42CC">
              <w:rPr>
                <w:rFonts w:ascii="Calibri" w:hAnsi="Calibri" w:cs="Calibri"/>
                <w:bCs/>
                <w:sz w:val="20"/>
                <w:lang w:val="en-GB"/>
              </w:rPr>
              <w:t>: Propagation characteristics used for simulations.</w:t>
            </w:r>
          </w:p>
          <w:p w14:paraId="118B186C" w14:textId="77777777" w:rsidR="00955924" w:rsidRPr="005E42CC" w:rsidRDefault="00955924" w:rsidP="00362351">
            <w:pPr>
              <w:spacing w:after="0" w:line="240" w:lineRule="auto"/>
              <w:jc w:val="both"/>
              <w:rPr>
                <w:rFonts w:eastAsia="Times New Roman" w:cs="Calibri"/>
                <w:b/>
                <w:bCs/>
                <w:u w:val="single"/>
                <w:lang w:val="en-GB"/>
              </w:rPr>
            </w:pPr>
            <w:r w:rsidRPr="005E42CC">
              <w:rPr>
                <w:rFonts w:eastAsia="Times New Roman" w:cs="Calibri"/>
                <w:b/>
                <w:bCs/>
                <w:u w:val="single"/>
                <w:lang w:val="en-GB"/>
              </w:rPr>
              <w:t>Methodology</w:t>
            </w:r>
          </w:p>
          <w:p w14:paraId="20349C70" w14:textId="313F3628"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This sharing study shows results in the form of I/N heat maps around FSS ES that determine the required separation distance between FSS ES and a single MS </w:t>
            </w:r>
            <w:r w:rsidR="003B23B8" w:rsidRPr="005E42CC">
              <w:rPr>
                <w:rFonts w:eastAsia="Times New Roman" w:cs="Calibri"/>
                <w:lang w:val="en-GB"/>
              </w:rPr>
              <w:t>macro-BS</w:t>
            </w:r>
            <w:r w:rsidRPr="005E42CC">
              <w:rPr>
                <w:rFonts w:eastAsia="Times New Roman" w:cs="Calibri"/>
                <w:lang w:val="en-GB"/>
              </w:rPr>
              <w:t xml:space="preserve"> needed to avoid co-channel interference. </w:t>
            </w:r>
          </w:p>
          <w:p w14:paraId="16634118" w14:textId="77777777" w:rsidR="00956D26" w:rsidRPr="005E42CC" w:rsidRDefault="00956D26" w:rsidP="00362351">
            <w:pPr>
              <w:spacing w:after="0" w:line="240" w:lineRule="auto"/>
              <w:jc w:val="both"/>
              <w:rPr>
                <w:rFonts w:eastAsia="Times New Roman" w:cs="Calibri"/>
                <w:lang w:val="en-GB"/>
              </w:rPr>
            </w:pPr>
          </w:p>
          <w:p w14:paraId="1D623252" w14:textId="633C2BA5"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 xml:space="preserve">In Figure 1, a methodology for the area analysis is shown. An MS </w:t>
            </w:r>
            <w:r w:rsidR="003B23B8" w:rsidRPr="005E42CC">
              <w:rPr>
                <w:rFonts w:eastAsia="Times New Roman" w:cs="Calibri"/>
                <w:lang w:val="en-GB"/>
              </w:rPr>
              <w:t>macro-BS</w:t>
            </w:r>
            <w:r w:rsidRPr="005E42CC">
              <w:rPr>
                <w:rFonts w:eastAsia="Times New Roman" w:cs="Calibri"/>
                <w:lang w:val="en-GB"/>
              </w:rPr>
              <w:t xml:space="preserve"> moves at </w:t>
            </w:r>
            <w:r w:rsidR="00305446" w:rsidRPr="005E42CC">
              <w:rPr>
                <w:rFonts w:eastAsia="Times New Roman" w:cs="Calibri"/>
                <w:lang w:val="en-GB"/>
              </w:rPr>
              <w:t>one-kilometre</w:t>
            </w:r>
            <w:r w:rsidRPr="005E42CC">
              <w:rPr>
                <w:rFonts w:eastAsia="Times New Roman" w:cs="Calibri"/>
                <w:lang w:val="en-GB"/>
              </w:rPr>
              <w:t xml:space="preserve"> steps in the area analysis window and on each step the I/N is calculated at the victim FSS ES. Every location of the MS BS where the FSS protection criterion is reached is marked red. At the end of the analysis, a red I/N contour of -10 dB is visible around the victim FSS ES. Any single MS </w:t>
            </w:r>
            <w:r w:rsidR="003B23B8" w:rsidRPr="005E42CC">
              <w:rPr>
                <w:rFonts w:eastAsia="Times New Roman" w:cs="Calibri"/>
                <w:lang w:val="en-GB"/>
              </w:rPr>
              <w:t>macro-BS</w:t>
            </w:r>
            <w:r w:rsidRPr="005E42CC">
              <w:rPr>
                <w:rFonts w:eastAsia="Times New Roman" w:cs="Calibri"/>
                <w:lang w:val="en-GB"/>
              </w:rPr>
              <w:t xml:space="preserve"> located inside or on this contour, would result to an I/N exceedance at the FSS ES. The furthest point of the contour from the ES represents the maximum separation distance required to protect the FSS ES from interference.</w:t>
            </w:r>
          </w:p>
          <w:p w14:paraId="5B312368" w14:textId="77777777" w:rsidR="00955924" w:rsidRPr="005E42CC" w:rsidRDefault="00955924" w:rsidP="00362351">
            <w:pPr>
              <w:spacing w:after="0" w:line="240" w:lineRule="auto"/>
              <w:jc w:val="center"/>
              <w:rPr>
                <w:rFonts w:cs="Calibri"/>
                <w:b/>
                <w:sz w:val="28"/>
                <w:lang w:val="en-GB"/>
              </w:rPr>
            </w:pPr>
            <w:r w:rsidRPr="005E42CC">
              <w:rPr>
                <w:rFonts w:cs="Calibri"/>
                <w:b/>
                <w:noProof/>
                <w:sz w:val="28"/>
              </w:rPr>
              <w:drawing>
                <wp:inline distT="0" distB="0" distL="0" distR="0" wp14:anchorId="28036D6C" wp14:editId="26899AA8">
                  <wp:extent cx="4045130" cy="3009418"/>
                  <wp:effectExtent l="0" t="0" r="0" b="635"/>
                  <wp:docPr id="16" name="Picture 7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76"/>
                          <pic:cNvPicPr>
                            <a:picLocks/>
                          </pic:cNvPicPr>
                        </pic:nvPicPr>
                        <pic:blipFill>
                          <a:blip r:embed="rId9">
                            <a:extLst>
                              <a:ext uri="{28A0092B-C50C-407E-A947-70E740481C1C}">
                                <a14:useLocalDpi xmlns:a14="http://schemas.microsoft.com/office/drawing/2010/main" val="0"/>
                              </a:ext>
                            </a:extLst>
                          </a:blip>
                          <a:srcRect l="1971" t="1186" r="470"/>
                          <a:stretch>
                            <a:fillRect/>
                          </a:stretch>
                        </pic:blipFill>
                        <pic:spPr bwMode="auto">
                          <a:xfrm>
                            <a:off x="0" y="0"/>
                            <a:ext cx="4058259" cy="3019185"/>
                          </a:xfrm>
                          <a:prstGeom prst="rect">
                            <a:avLst/>
                          </a:prstGeom>
                          <a:noFill/>
                          <a:ln>
                            <a:noFill/>
                          </a:ln>
                        </pic:spPr>
                      </pic:pic>
                    </a:graphicData>
                  </a:graphic>
                </wp:inline>
              </w:drawing>
            </w:r>
          </w:p>
          <w:p w14:paraId="0728240A" w14:textId="77777777" w:rsidR="00955924" w:rsidRPr="005E42CC" w:rsidRDefault="00955924" w:rsidP="00362351">
            <w:pPr>
              <w:pStyle w:val="Tablehead"/>
              <w:spacing w:before="0" w:after="0"/>
              <w:rPr>
                <w:rFonts w:ascii="Calibri" w:hAnsi="Calibri" w:cs="Calibri"/>
                <w:bCs/>
                <w:sz w:val="20"/>
                <w:lang w:val="en-GB"/>
              </w:rPr>
            </w:pPr>
            <w:r w:rsidRPr="005E42CC">
              <w:rPr>
                <w:rFonts w:ascii="Calibri" w:hAnsi="Calibri" w:cs="Calibri"/>
                <w:bCs/>
                <w:sz w:val="20"/>
                <w:lang w:val="en-GB"/>
              </w:rPr>
              <w:t>Figure 1: Area analysis with a I/N heat map around FSS ES.</w:t>
            </w:r>
          </w:p>
          <w:p w14:paraId="37F61506" w14:textId="77777777" w:rsidR="00956D26" w:rsidRPr="005E42CC" w:rsidRDefault="00956D26" w:rsidP="00362351">
            <w:pPr>
              <w:autoSpaceDE w:val="0"/>
              <w:autoSpaceDN w:val="0"/>
              <w:adjustRightInd w:val="0"/>
              <w:spacing w:after="0" w:line="240" w:lineRule="auto"/>
              <w:jc w:val="both"/>
              <w:rPr>
                <w:rFonts w:eastAsia="Times New Roman" w:cs="Calibri"/>
                <w:lang w:val="en-GB"/>
              </w:rPr>
            </w:pPr>
          </w:p>
          <w:p w14:paraId="78C60845" w14:textId="78C4FBA0" w:rsidR="00FB21B7" w:rsidRPr="005E42CC" w:rsidRDefault="00955924" w:rsidP="00362351">
            <w:pPr>
              <w:autoSpaceDE w:val="0"/>
              <w:autoSpaceDN w:val="0"/>
              <w:adjustRightInd w:val="0"/>
              <w:spacing w:after="0" w:line="240" w:lineRule="auto"/>
              <w:jc w:val="both"/>
              <w:rPr>
                <w:rFonts w:cs="Calibri"/>
                <w:sz w:val="20"/>
                <w:szCs w:val="20"/>
                <w:lang w:val="en-GB"/>
              </w:rPr>
            </w:pPr>
            <w:r w:rsidRPr="005E42CC">
              <w:rPr>
                <w:rFonts w:eastAsia="Times New Roman" w:cs="Calibri"/>
                <w:lang w:val="en-GB"/>
              </w:rPr>
              <w:t>The FSS earth station sites included in this study are currently operating FSS earth station antennas along with the satellite being tracked. A wide range of antenna sizes from 2.4-</w:t>
            </w:r>
            <w:r w:rsidR="003B23B8" w:rsidRPr="005E42CC">
              <w:rPr>
                <w:rFonts w:eastAsia="Times New Roman" w:cs="Calibri"/>
                <w:lang w:val="en-GB"/>
              </w:rPr>
              <w:t>9.3m</w:t>
            </w:r>
            <w:r w:rsidRPr="005E42CC">
              <w:rPr>
                <w:rFonts w:eastAsia="Times New Roman" w:cs="Calibri"/>
                <w:lang w:val="en-GB"/>
              </w:rPr>
              <w:t xml:space="preserve"> have been selected in the study to get a diverse set of results.</w:t>
            </w:r>
            <w:r w:rsidR="003B23B8" w:rsidRPr="005E42CC">
              <w:rPr>
                <w:rFonts w:eastAsia="Times New Roman" w:cs="Calibri"/>
                <w:lang w:val="en-GB"/>
              </w:rPr>
              <w:t xml:space="preserve"> </w:t>
            </w:r>
            <w:r w:rsidR="003B23B8" w:rsidRPr="005E42CC">
              <w:rPr>
                <w:rFonts w:cs="Arial"/>
                <w:lang w:val="en-GB"/>
              </w:rPr>
              <w:t xml:space="preserve">These antenna sizes represent actual deployed FSS earth station antennas in these locations.  </w:t>
            </w:r>
          </w:p>
          <w:p w14:paraId="3FBFEB75" w14:textId="77777777" w:rsidR="00956D26" w:rsidRPr="005E42CC" w:rsidRDefault="00956D26" w:rsidP="00362351">
            <w:pPr>
              <w:spacing w:after="0" w:line="240" w:lineRule="auto"/>
              <w:jc w:val="both"/>
              <w:rPr>
                <w:rFonts w:eastAsia="Times New Roman" w:cs="Calibri"/>
                <w:lang w:val="en-GB"/>
              </w:rPr>
            </w:pPr>
          </w:p>
          <w:p w14:paraId="62AEC9EB" w14:textId="7691503B" w:rsidR="00955924" w:rsidRPr="005E42CC" w:rsidRDefault="00955924" w:rsidP="00362351">
            <w:pPr>
              <w:spacing w:after="0" w:line="240" w:lineRule="auto"/>
              <w:jc w:val="both"/>
              <w:rPr>
                <w:rFonts w:eastAsia="Times New Roman" w:cs="Calibri"/>
                <w:lang w:val="en-GB"/>
              </w:rPr>
            </w:pPr>
            <w:r w:rsidRPr="005E42CC">
              <w:rPr>
                <w:rFonts w:eastAsia="Times New Roman" w:cs="Calibri"/>
                <w:lang w:val="en-GB"/>
              </w:rPr>
              <w:t>For different regions, the results vary mainly due to the following factors</w:t>
            </w:r>
          </w:p>
          <w:p w14:paraId="668516D8" w14:textId="77777777" w:rsidR="00955924" w:rsidRPr="005E42CC" w:rsidRDefault="00955924" w:rsidP="002D603F">
            <w:pPr>
              <w:numPr>
                <w:ilvl w:val="0"/>
                <w:numId w:val="2"/>
              </w:numPr>
              <w:spacing w:after="0" w:line="240" w:lineRule="auto"/>
              <w:jc w:val="both"/>
              <w:rPr>
                <w:rFonts w:eastAsia="Times New Roman" w:cs="Calibri"/>
                <w:lang w:val="en-GB"/>
              </w:rPr>
            </w:pPr>
            <w:r w:rsidRPr="005E42CC">
              <w:rPr>
                <w:rFonts w:eastAsia="Times New Roman" w:cs="Calibri"/>
                <w:lang w:val="en-GB"/>
              </w:rPr>
              <w:t>ES pointing/ Elevation</w:t>
            </w:r>
          </w:p>
          <w:p w14:paraId="1ACA5628" w14:textId="77777777" w:rsidR="00955924" w:rsidRPr="005E42CC" w:rsidRDefault="00955924" w:rsidP="002D603F">
            <w:pPr>
              <w:numPr>
                <w:ilvl w:val="0"/>
                <w:numId w:val="2"/>
              </w:numPr>
              <w:spacing w:after="0" w:line="240" w:lineRule="auto"/>
              <w:jc w:val="both"/>
              <w:rPr>
                <w:rFonts w:eastAsia="Times New Roman" w:cs="Calibri"/>
                <w:lang w:val="en-GB"/>
              </w:rPr>
            </w:pPr>
            <w:r w:rsidRPr="005E42CC">
              <w:rPr>
                <w:rFonts w:eastAsia="Times New Roman" w:cs="Calibri"/>
                <w:lang w:val="en-GB"/>
              </w:rPr>
              <w:t>Antenna size</w:t>
            </w:r>
          </w:p>
          <w:p w14:paraId="5F57EF68" w14:textId="77777777" w:rsidR="00955924" w:rsidRPr="005E42CC" w:rsidRDefault="00955924" w:rsidP="002D603F">
            <w:pPr>
              <w:numPr>
                <w:ilvl w:val="0"/>
                <w:numId w:val="2"/>
              </w:numPr>
              <w:spacing w:after="0" w:line="240" w:lineRule="auto"/>
              <w:jc w:val="both"/>
              <w:rPr>
                <w:rFonts w:eastAsia="Times New Roman" w:cs="Calibri"/>
                <w:lang w:val="en-GB"/>
              </w:rPr>
            </w:pPr>
            <w:r w:rsidRPr="005E42CC">
              <w:rPr>
                <w:rFonts w:eastAsia="Times New Roman" w:cs="Calibri"/>
                <w:lang w:val="en-GB"/>
              </w:rPr>
              <w:t>Terrain</w:t>
            </w:r>
          </w:p>
          <w:p w14:paraId="3D7A7019" w14:textId="1D2B3584" w:rsidR="00FB21B7" w:rsidRPr="005E42CC" w:rsidRDefault="00FB21B7" w:rsidP="00362351">
            <w:pPr>
              <w:autoSpaceDE w:val="0"/>
              <w:autoSpaceDN w:val="0"/>
              <w:adjustRightInd w:val="0"/>
              <w:spacing w:after="0" w:line="240" w:lineRule="auto"/>
              <w:jc w:val="both"/>
              <w:rPr>
                <w:rFonts w:cs="Calibri"/>
                <w:sz w:val="20"/>
                <w:szCs w:val="20"/>
                <w:lang w:val="en-GB"/>
              </w:rPr>
            </w:pPr>
          </w:p>
          <w:p w14:paraId="18BA789C" w14:textId="77777777" w:rsidR="003B23B8" w:rsidRPr="005E42CC" w:rsidRDefault="003B23B8" w:rsidP="00362351">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Usually at lower elevation angles, received interference is greater as compared to higher elevation angles. However, that is only one factor. Antenna size makes a big difference as well. Smaller antenna means wider beam width, hence more interference whereas bigger antenna means narrow beam width and less interference. Terrain plays the most significant role in determining the exclusion zone. A flat terrain would have widespread exclusion zones as compared to a rocky terrain and mountains with a lot of obstructions making line of sight more unlikely and resulting in higher propagation loss.  </w:t>
            </w:r>
          </w:p>
          <w:p w14:paraId="0B2E9B06" w14:textId="77777777" w:rsidR="00956D26" w:rsidRPr="005E42CC" w:rsidRDefault="00956D26" w:rsidP="00362351">
            <w:pPr>
              <w:spacing w:after="0" w:line="240" w:lineRule="auto"/>
              <w:jc w:val="both"/>
              <w:rPr>
                <w:rFonts w:asciiTheme="minorHAnsi" w:eastAsiaTheme="minorHAnsi" w:hAnsiTheme="minorHAnsi" w:cstheme="minorHAnsi"/>
                <w:lang w:val="en-GB"/>
              </w:rPr>
            </w:pPr>
          </w:p>
          <w:p w14:paraId="44B1B2F7" w14:textId="40B8C371" w:rsidR="003B23B8" w:rsidRPr="005E42CC" w:rsidRDefault="003B23B8" w:rsidP="00362351">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In this study, 4 cities are selected based on population, geographical significance and FSS deployment in 3 600-3 800 </w:t>
            </w:r>
            <w:proofErr w:type="spellStart"/>
            <w:r w:rsidRPr="005E42CC">
              <w:rPr>
                <w:rFonts w:asciiTheme="minorHAnsi" w:eastAsiaTheme="minorHAnsi" w:hAnsiTheme="minorHAnsi" w:cstheme="minorHAnsi"/>
                <w:lang w:val="en-GB"/>
              </w:rPr>
              <w:t>MHz.</w:t>
            </w:r>
            <w:proofErr w:type="spellEnd"/>
            <w:r w:rsidRPr="005E42CC">
              <w:rPr>
                <w:rFonts w:asciiTheme="minorHAnsi" w:eastAsiaTheme="minorHAnsi" w:hAnsiTheme="minorHAnsi" w:cstheme="minorHAnsi"/>
                <w:lang w:val="en-GB"/>
              </w:rPr>
              <w:t xml:space="preserve"> </w:t>
            </w:r>
          </w:p>
          <w:p w14:paraId="48B687FF" w14:textId="77777777" w:rsidR="00956D26" w:rsidRPr="005E42CC" w:rsidRDefault="00956D26" w:rsidP="00362351">
            <w:pPr>
              <w:spacing w:after="0" w:line="240" w:lineRule="auto"/>
              <w:rPr>
                <w:rFonts w:asciiTheme="minorHAnsi" w:eastAsiaTheme="minorHAnsi" w:hAnsiTheme="minorHAnsi" w:cstheme="minorHAnsi"/>
                <w:lang w:val="en-GB"/>
              </w:rPr>
            </w:pPr>
          </w:p>
          <w:p w14:paraId="702B93B5" w14:textId="15FDE7E9" w:rsidR="003B23B8" w:rsidRPr="005E42CC" w:rsidRDefault="003B23B8" w:rsidP="00362351">
            <w:p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The results summarized below are I/N heat maps. Red contour represents an I/N of -10 dB for Mobile parameters and yellow contour represents results for Mobile parameters. The blue circle is the required separation distance needed in each case. </w:t>
            </w:r>
          </w:p>
          <w:p w14:paraId="1DB0D8E7" w14:textId="77777777" w:rsidR="00FB21B7" w:rsidRPr="005E42CC" w:rsidRDefault="00FB21B7" w:rsidP="00362351">
            <w:pPr>
              <w:autoSpaceDE w:val="0"/>
              <w:autoSpaceDN w:val="0"/>
              <w:adjustRightInd w:val="0"/>
              <w:spacing w:after="0" w:line="240" w:lineRule="auto"/>
              <w:jc w:val="both"/>
              <w:rPr>
                <w:rFonts w:cs="Calibri"/>
                <w:sz w:val="20"/>
                <w:szCs w:val="20"/>
                <w:lang w:val="en-GB"/>
              </w:rPr>
            </w:pPr>
          </w:p>
          <w:p w14:paraId="3B4C6CA8" w14:textId="4055DE0A" w:rsidR="008925ED" w:rsidRPr="005E42CC" w:rsidRDefault="008925ED" w:rsidP="00362351">
            <w:pPr>
              <w:autoSpaceDE w:val="0"/>
              <w:autoSpaceDN w:val="0"/>
              <w:adjustRightInd w:val="0"/>
              <w:spacing w:after="0" w:line="240" w:lineRule="auto"/>
              <w:jc w:val="both"/>
              <w:rPr>
                <w:rFonts w:cs="Calibri"/>
                <w:sz w:val="20"/>
                <w:szCs w:val="20"/>
                <w:lang w:val="en-GB"/>
              </w:rPr>
            </w:pPr>
          </w:p>
        </w:tc>
      </w:tr>
      <w:tr w:rsidR="009C4395" w:rsidRPr="005E42CC" w14:paraId="0892577D" w14:textId="77777777" w:rsidTr="00CB2752">
        <w:tc>
          <w:tcPr>
            <w:tcW w:w="9903" w:type="dxa"/>
          </w:tcPr>
          <w:p w14:paraId="2985AEDF" w14:textId="77777777" w:rsidR="009C4395" w:rsidRPr="005E42CC" w:rsidRDefault="00A853DF" w:rsidP="00362351">
            <w:pPr>
              <w:spacing w:after="0" w:line="240" w:lineRule="auto"/>
              <w:rPr>
                <w:rFonts w:cs="Calibri"/>
                <w:b/>
                <w:color w:val="00B050"/>
                <w:spacing w:val="60"/>
                <w:sz w:val="20"/>
                <w:szCs w:val="20"/>
              </w:rPr>
            </w:pPr>
            <w:r w:rsidRPr="005E42CC">
              <w:rPr>
                <w:rFonts w:cs="Calibri"/>
                <w:b/>
                <w:color w:val="00B050"/>
                <w:spacing w:val="60"/>
                <w:sz w:val="20"/>
                <w:szCs w:val="20"/>
              </w:rPr>
              <w:t xml:space="preserve">Part C: </w:t>
            </w:r>
            <w:r w:rsidR="009C4395" w:rsidRPr="005E42CC">
              <w:rPr>
                <w:rFonts w:cs="Calibri"/>
                <w:b/>
                <w:color w:val="00B050"/>
                <w:spacing w:val="60"/>
                <w:sz w:val="20"/>
                <w:szCs w:val="20"/>
              </w:rPr>
              <w:t>Current Status of Band</w:t>
            </w:r>
          </w:p>
        </w:tc>
      </w:tr>
      <w:tr w:rsidR="009C4395" w:rsidRPr="005E42CC" w14:paraId="4E5CB7A5" w14:textId="77777777" w:rsidTr="00CB2752">
        <w:trPr>
          <w:trHeight w:val="764"/>
        </w:trPr>
        <w:tc>
          <w:tcPr>
            <w:tcW w:w="9903" w:type="dxa"/>
          </w:tcPr>
          <w:p w14:paraId="36C0B61F" w14:textId="77777777" w:rsidR="001C23A2" w:rsidRPr="005E42CC" w:rsidRDefault="001C23A2" w:rsidP="00305446">
            <w:pPr>
              <w:spacing w:after="0" w:line="240" w:lineRule="auto"/>
              <w:jc w:val="both"/>
              <w:rPr>
                <w:rFonts w:cs="Calibri"/>
                <w:sz w:val="20"/>
                <w:szCs w:val="20"/>
              </w:rPr>
            </w:pPr>
          </w:p>
          <w:p w14:paraId="1A17850D" w14:textId="77777777" w:rsidR="00955924" w:rsidRPr="005E42CC" w:rsidRDefault="00955924" w:rsidP="00305446">
            <w:pPr>
              <w:spacing w:after="0" w:line="240" w:lineRule="auto"/>
              <w:jc w:val="both"/>
              <w:rPr>
                <w:rFonts w:eastAsiaTheme="minorHAnsi" w:cs="Calibri"/>
                <w:lang w:val="en-GB"/>
              </w:rPr>
            </w:pPr>
            <w:r w:rsidRPr="005E42CC">
              <w:rPr>
                <w:rFonts w:eastAsiaTheme="minorHAnsi" w:cs="Calibri"/>
                <w:lang w:val="en-GB"/>
              </w:rPr>
              <w:t xml:space="preserve">Currently under Article 5 of Radio Regulations, in the 3 600-3 800 MHz band, Mobile Service (MS) has an allocation on a secondary basis in Region 1. WRC-23 Agenda Item 1.3 addresses studies on a possible upgrade of the MS to co-primary. Such upgrade should only be considered under conditions that fully protect the existing primary services in the same and adjacent bands. </w:t>
            </w:r>
          </w:p>
          <w:p w14:paraId="135809A2" w14:textId="5FB34239" w:rsidR="00955924" w:rsidRPr="005E42CC" w:rsidRDefault="00955924" w:rsidP="00305446">
            <w:pPr>
              <w:spacing w:after="0" w:line="240" w:lineRule="auto"/>
              <w:jc w:val="center"/>
              <w:rPr>
                <w:rFonts w:eastAsiaTheme="minorHAnsi" w:cs="Calibri"/>
                <w:noProof/>
                <w:lang w:val="en-GB"/>
              </w:rPr>
            </w:pPr>
            <w:r w:rsidRPr="005E42CC">
              <w:rPr>
                <w:rFonts w:eastAsiaTheme="minorHAnsi" w:cs="Calibri"/>
                <w:noProof/>
              </w:rPr>
              <w:drawing>
                <wp:inline distT="0" distB="0" distL="0" distR="0" wp14:anchorId="33765163" wp14:editId="5D1D0C05">
                  <wp:extent cx="4665584" cy="383540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5584" cy="3835409"/>
                          </a:xfrm>
                          <a:prstGeom prst="rect">
                            <a:avLst/>
                          </a:prstGeom>
                        </pic:spPr>
                      </pic:pic>
                    </a:graphicData>
                  </a:graphic>
                </wp:inline>
              </w:drawing>
            </w:r>
          </w:p>
          <w:p w14:paraId="2362E4DB" w14:textId="77777777" w:rsidR="00956D26" w:rsidRPr="005E42CC" w:rsidRDefault="00956D26" w:rsidP="00305446">
            <w:pPr>
              <w:spacing w:after="0" w:line="240" w:lineRule="auto"/>
              <w:jc w:val="both"/>
              <w:rPr>
                <w:rFonts w:eastAsiaTheme="minorHAnsi" w:cs="Calibri"/>
                <w:lang w:val="en-GB"/>
              </w:rPr>
            </w:pPr>
          </w:p>
          <w:p w14:paraId="7A7C85EC" w14:textId="77777777" w:rsidR="00955924" w:rsidRPr="005E42CC" w:rsidRDefault="00955924" w:rsidP="005E42CC">
            <w:pPr>
              <w:spacing w:after="0" w:line="240" w:lineRule="auto"/>
              <w:jc w:val="both"/>
              <w:rPr>
                <w:rFonts w:eastAsiaTheme="minorHAnsi" w:cs="Calibri"/>
                <w:lang w:val="en-GB"/>
              </w:rPr>
            </w:pPr>
            <w:r w:rsidRPr="005E42CC">
              <w:rPr>
                <w:rFonts w:eastAsiaTheme="minorHAnsi" w:cs="Calibri"/>
                <w:lang w:val="en-GB"/>
              </w:rPr>
              <w:t xml:space="preserve">The purpose of this sharing study is to analyze possible co-existence between FSS and Mobile systems on a co-primary basis and determine the impact from Mobile on FSS receivers and the exclusion zones required to shield from harmful interference. </w:t>
            </w:r>
          </w:p>
          <w:p w14:paraId="71330BE8" w14:textId="4A6E09D8" w:rsidR="005E42CC" w:rsidRPr="005E42CC" w:rsidRDefault="005E42CC" w:rsidP="005E42CC">
            <w:pPr>
              <w:spacing w:after="0" w:line="240" w:lineRule="auto"/>
              <w:jc w:val="both"/>
              <w:rPr>
                <w:rFonts w:cs="Calibri"/>
                <w:sz w:val="20"/>
                <w:szCs w:val="20"/>
              </w:rPr>
            </w:pPr>
          </w:p>
        </w:tc>
      </w:tr>
      <w:tr w:rsidR="00C21D8D" w:rsidRPr="005E42CC" w14:paraId="0F0E1A62" w14:textId="77777777" w:rsidTr="00CB2752">
        <w:tc>
          <w:tcPr>
            <w:tcW w:w="9903" w:type="dxa"/>
          </w:tcPr>
          <w:p w14:paraId="55FE123A" w14:textId="77777777" w:rsidR="00C21D8D" w:rsidRPr="005E42CC" w:rsidRDefault="00C21D8D" w:rsidP="00362351">
            <w:pPr>
              <w:spacing w:after="0" w:line="240" w:lineRule="auto"/>
              <w:rPr>
                <w:rFonts w:cs="Calibri"/>
                <w:b/>
                <w:color w:val="00B050"/>
                <w:spacing w:val="60"/>
                <w:sz w:val="20"/>
                <w:szCs w:val="20"/>
              </w:rPr>
            </w:pPr>
            <w:r w:rsidRPr="005E42CC">
              <w:rPr>
                <w:rFonts w:cs="Calibri"/>
                <w:b/>
                <w:color w:val="00B050"/>
                <w:spacing w:val="60"/>
                <w:sz w:val="20"/>
                <w:szCs w:val="20"/>
              </w:rPr>
              <w:t>Part D: Conclusion of the results of studies, if any</w:t>
            </w:r>
          </w:p>
        </w:tc>
      </w:tr>
      <w:tr w:rsidR="00C21D8D" w:rsidRPr="005E42CC" w14:paraId="263E2ED6" w14:textId="77777777" w:rsidTr="00CB2752">
        <w:trPr>
          <w:trHeight w:val="878"/>
        </w:trPr>
        <w:tc>
          <w:tcPr>
            <w:tcW w:w="9903" w:type="dxa"/>
          </w:tcPr>
          <w:p w14:paraId="016EFD1F" w14:textId="77777777" w:rsidR="008925ED" w:rsidRPr="005E42CC" w:rsidRDefault="008925ED" w:rsidP="00305446">
            <w:pPr>
              <w:spacing w:after="0" w:line="240" w:lineRule="auto"/>
              <w:jc w:val="both"/>
              <w:rPr>
                <w:rFonts w:asciiTheme="minorHAnsi" w:hAnsiTheme="minorHAnsi" w:cstheme="minorHAnsi"/>
              </w:rPr>
            </w:pPr>
          </w:p>
          <w:p w14:paraId="19F14E8E" w14:textId="77777777" w:rsidR="004A3F9B" w:rsidRPr="005E42CC" w:rsidRDefault="004A3F9B" w:rsidP="00305446">
            <w:pPr>
              <w:keepNext/>
              <w:keepLines/>
              <w:spacing w:after="0" w:line="240" w:lineRule="auto"/>
              <w:outlineLvl w:val="0"/>
              <w:rPr>
                <w:rFonts w:asciiTheme="minorHAnsi" w:eastAsiaTheme="majorEastAsia" w:hAnsiTheme="minorHAnsi" w:cstheme="minorHAnsi"/>
                <w:b/>
                <w:lang w:val="en-GB"/>
              </w:rPr>
            </w:pPr>
            <w:r w:rsidRPr="005E42CC">
              <w:rPr>
                <w:rFonts w:asciiTheme="minorHAnsi" w:eastAsiaTheme="majorEastAsia" w:hAnsiTheme="minorHAnsi" w:cstheme="minorHAnsi"/>
                <w:b/>
                <w:lang w:val="en-GB"/>
              </w:rPr>
              <w:t>Results</w:t>
            </w:r>
          </w:p>
          <w:p w14:paraId="595F4B38" w14:textId="162AA280" w:rsidR="004A3F9B" w:rsidRPr="005E42CC" w:rsidRDefault="004A3F9B" w:rsidP="0030544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A wide range of antenna sizes from 2.4-9.3 m have been included in the study to get a diverse set of results. These antenna sizes represent actual deployed FSS earth station antennas in these locations.   </w:t>
            </w:r>
          </w:p>
          <w:p w14:paraId="26791B79" w14:textId="77777777" w:rsidR="00956D26" w:rsidRPr="005E42CC" w:rsidRDefault="00956D26" w:rsidP="00305446">
            <w:pPr>
              <w:spacing w:after="0" w:line="240" w:lineRule="auto"/>
              <w:rPr>
                <w:rFonts w:asciiTheme="minorHAnsi" w:eastAsiaTheme="minorHAnsi" w:hAnsiTheme="minorHAnsi" w:cstheme="minorHAnsi"/>
                <w:lang w:val="en-GB"/>
              </w:rPr>
            </w:pPr>
          </w:p>
          <w:p w14:paraId="37D57A13" w14:textId="23F26E2B" w:rsidR="004A3F9B" w:rsidRPr="005E42CC" w:rsidRDefault="004A3F9B" w:rsidP="00305446">
            <w:p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For different regions, the results vary mainly due to the following factors</w:t>
            </w:r>
          </w:p>
          <w:p w14:paraId="13B8FB14" w14:textId="77777777" w:rsidR="004A3F9B" w:rsidRPr="005E42CC" w:rsidRDefault="004A3F9B" w:rsidP="002D603F">
            <w:pPr>
              <w:numPr>
                <w:ilvl w:val="0"/>
                <w:numId w:val="4"/>
              </w:num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ES pointing/ Elevation</w:t>
            </w:r>
          </w:p>
          <w:p w14:paraId="3A84EF61" w14:textId="77777777" w:rsidR="004A3F9B" w:rsidRPr="005E42CC" w:rsidRDefault="004A3F9B" w:rsidP="002D603F">
            <w:pPr>
              <w:numPr>
                <w:ilvl w:val="0"/>
                <w:numId w:val="4"/>
              </w:num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Antenna size</w:t>
            </w:r>
          </w:p>
          <w:p w14:paraId="18E03029" w14:textId="77777777" w:rsidR="004A3F9B" w:rsidRPr="005E42CC" w:rsidRDefault="004A3F9B" w:rsidP="002D603F">
            <w:pPr>
              <w:numPr>
                <w:ilvl w:val="0"/>
                <w:numId w:val="4"/>
              </w:num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Terrain</w:t>
            </w:r>
          </w:p>
          <w:p w14:paraId="4FF359F5" w14:textId="77777777" w:rsidR="00956D26" w:rsidRPr="005E42CC" w:rsidRDefault="00956D26" w:rsidP="00305446">
            <w:pPr>
              <w:spacing w:after="0" w:line="240" w:lineRule="auto"/>
              <w:jc w:val="both"/>
              <w:rPr>
                <w:rFonts w:asciiTheme="minorHAnsi" w:eastAsiaTheme="minorHAnsi" w:hAnsiTheme="minorHAnsi" w:cstheme="minorHAnsi"/>
                <w:lang w:val="en-GB"/>
              </w:rPr>
            </w:pPr>
          </w:p>
          <w:p w14:paraId="6BA45927" w14:textId="0F1FBF1C" w:rsidR="004A3F9B" w:rsidRPr="005E42CC" w:rsidRDefault="004A3F9B" w:rsidP="0030544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Usually at lower elevation angles, received interference is greater as compared to higher elevation angles. However, that is only one factor. Antenna size makes a big difference as well. Smaller antenna means wider beam width, hence more interference whereas bigger antenna means narrow beam width and less interference. Terrain plays the most significant role in determining the exclusion zone. A flat terrain would have widespread exclusion zones as compared to a rocky terrain and mountains with a lot of obstructions making line of sight more unlikely and resulting in higher propagation loss.  </w:t>
            </w:r>
          </w:p>
          <w:p w14:paraId="2BDEB1F4" w14:textId="77777777" w:rsidR="00956D26" w:rsidRPr="005E42CC" w:rsidRDefault="00956D26" w:rsidP="00305446">
            <w:pPr>
              <w:spacing w:after="0" w:line="240" w:lineRule="auto"/>
              <w:jc w:val="both"/>
              <w:rPr>
                <w:rFonts w:asciiTheme="minorHAnsi" w:eastAsiaTheme="minorHAnsi" w:hAnsiTheme="minorHAnsi" w:cstheme="minorHAnsi"/>
                <w:lang w:val="en-GB"/>
              </w:rPr>
            </w:pPr>
          </w:p>
          <w:p w14:paraId="1AFD1938" w14:textId="660A7E12" w:rsidR="004A3F9B" w:rsidRPr="005E42CC" w:rsidRDefault="004A3F9B" w:rsidP="0030544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In this study, 4 cities are selected based on population, geographical significance and FSS deployment in 3 600-3 800 </w:t>
            </w:r>
            <w:proofErr w:type="spellStart"/>
            <w:r w:rsidRPr="005E42CC">
              <w:rPr>
                <w:rFonts w:asciiTheme="minorHAnsi" w:eastAsiaTheme="minorHAnsi" w:hAnsiTheme="minorHAnsi" w:cstheme="minorHAnsi"/>
                <w:lang w:val="en-GB"/>
              </w:rPr>
              <w:t>MHz.</w:t>
            </w:r>
            <w:proofErr w:type="spellEnd"/>
            <w:r w:rsidRPr="005E42CC">
              <w:rPr>
                <w:rFonts w:asciiTheme="minorHAnsi" w:eastAsiaTheme="minorHAnsi" w:hAnsiTheme="minorHAnsi" w:cstheme="minorHAnsi"/>
                <w:lang w:val="en-GB"/>
              </w:rPr>
              <w:t xml:space="preserve"> </w:t>
            </w:r>
          </w:p>
          <w:p w14:paraId="52E0E01F" w14:textId="77777777" w:rsidR="00956D26" w:rsidRPr="005E42CC" w:rsidRDefault="00956D26" w:rsidP="00305446">
            <w:pPr>
              <w:spacing w:after="0" w:line="240" w:lineRule="auto"/>
              <w:rPr>
                <w:rFonts w:asciiTheme="minorHAnsi" w:eastAsiaTheme="minorHAnsi" w:hAnsiTheme="minorHAnsi" w:cstheme="minorHAnsi"/>
                <w:lang w:val="en-GB"/>
              </w:rPr>
            </w:pPr>
          </w:p>
          <w:p w14:paraId="7ABD2A1E" w14:textId="1802DF8E" w:rsidR="004A3F9B" w:rsidRPr="005E42CC" w:rsidRDefault="004A3F9B" w:rsidP="00305446">
            <w:p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The results summarized below are I/N heat maps. Red contour represents an I/N of -10 dB for Mobile parameters and yellow contour represents results for Mobile parameters. The blue circle is the required separation distance needed in each case. </w:t>
            </w:r>
          </w:p>
          <w:p w14:paraId="4146F957" w14:textId="77777777" w:rsidR="00956D26" w:rsidRPr="005E42CC" w:rsidRDefault="00956D26" w:rsidP="00305446">
            <w:pPr>
              <w:spacing w:after="0" w:line="240" w:lineRule="auto"/>
              <w:rPr>
                <w:rFonts w:asciiTheme="minorHAnsi" w:eastAsiaTheme="minorHAnsi" w:hAnsiTheme="minorHAnsi" w:cstheme="minorHAnsi"/>
                <w:lang w:val="en-GB"/>
              </w:rPr>
            </w:pPr>
          </w:p>
          <w:p w14:paraId="36DEBC57" w14:textId="299B26B9" w:rsidR="004A3F9B" w:rsidRPr="005E42CC" w:rsidRDefault="00CB2752" w:rsidP="00305446">
            <w:pPr>
              <w:spacing w:after="0" w:line="240" w:lineRule="auto"/>
              <w:jc w:val="both"/>
              <w:rPr>
                <w:rFonts w:asciiTheme="minorHAnsi" w:hAnsiTheme="minorHAnsi" w:cstheme="minorHAnsi"/>
                <w:lang w:val="en-GB"/>
              </w:rPr>
            </w:pPr>
            <w:r w:rsidRPr="005E42CC">
              <w:rPr>
                <w:rFonts w:asciiTheme="minorHAnsi" w:hAnsiTheme="minorHAnsi" w:cstheme="minorHAnsi"/>
                <w:noProof/>
              </w:rPr>
              <w:drawing>
                <wp:inline distT="0" distB="0" distL="0" distR="0" wp14:anchorId="40294ED7" wp14:editId="0BC25A76">
                  <wp:extent cx="5943600" cy="4055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55110"/>
                          </a:xfrm>
                          <a:prstGeom prst="rect">
                            <a:avLst/>
                          </a:prstGeom>
                        </pic:spPr>
                      </pic:pic>
                    </a:graphicData>
                  </a:graphic>
                </wp:inline>
              </w:drawing>
            </w:r>
          </w:p>
          <w:p w14:paraId="3540DCE3" w14:textId="77777777" w:rsidR="00CB2752" w:rsidRPr="005E42CC" w:rsidRDefault="00CB2752" w:rsidP="003054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line="240" w:lineRule="auto"/>
              <w:jc w:val="center"/>
              <w:textAlignment w:val="baseline"/>
              <w:rPr>
                <w:rFonts w:asciiTheme="minorHAnsi" w:eastAsiaTheme="minorEastAsia" w:hAnsiTheme="minorHAnsi" w:cstheme="minorHAnsi"/>
                <w:b/>
                <w:lang w:val="en-GB"/>
              </w:rPr>
            </w:pPr>
            <w:r w:rsidRPr="005E42CC">
              <w:rPr>
                <w:rFonts w:asciiTheme="minorHAnsi" w:eastAsiaTheme="minorEastAsia" w:hAnsiTheme="minorHAnsi" w:cstheme="minorHAnsi"/>
                <w:b/>
                <w:lang w:val="en-GB"/>
              </w:rPr>
              <w:t>Figure 2: Google earth result for all cities in Kenya.</w:t>
            </w:r>
          </w:p>
          <w:p w14:paraId="7B4B3FC1" w14:textId="77777777" w:rsidR="00305446" w:rsidRPr="005E42CC" w:rsidRDefault="00305446" w:rsidP="00305446">
            <w:pPr>
              <w:spacing w:after="0" w:line="240" w:lineRule="auto"/>
              <w:jc w:val="both"/>
              <w:rPr>
                <w:rFonts w:asciiTheme="minorHAnsi" w:hAnsiTheme="minorHAnsi" w:cstheme="minorHAnsi"/>
                <w:lang w:val="en-GB"/>
              </w:rPr>
            </w:pPr>
          </w:p>
          <w:tbl>
            <w:tblPr>
              <w:tblW w:w="9667" w:type="dxa"/>
              <w:tblCellMar>
                <w:left w:w="0" w:type="dxa"/>
                <w:right w:w="0" w:type="dxa"/>
              </w:tblCellMar>
              <w:tblLook w:val="0420" w:firstRow="1" w:lastRow="0" w:firstColumn="0" w:lastColumn="0" w:noHBand="0" w:noVBand="1"/>
            </w:tblPr>
            <w:tblGrid>
              <w:gridCol w:w="1461"/>
              <w:gridCol w:w="1901"/>
              <w:gridCol w:w="1728"/>
              <w:gridCol w:w="1382"/>
              <w:gridCol w:w="1467"/>
              <w:gridCol w:w="1728"/>
            </w:tblGrid>
            <w:tr w:rsidR="00CB2752" w:rsidRPr="005E42CC" w14:paraId="3C87DBB5" w14:textId="77777777" w:rsidTr="00CB2752">
              <w:trPr>
                <w:trHeight w:val="422"/>
              </w:trPr>
              <w:tc>
                <w:tcPr>
                  <w:tcW w:w="755" w:type="pct"/>
                  <w:vMerge w:val="restart"/>
                  <w:tcBorders>
                    <w:top w:val="single" w:sz="8" w:space="0" w:color="E3E3E4"/>
                    <w:left w:val="single" w:sz="8" w:space="0" w:color="E3E3E4"/>
                    <w:bottom w:val="single" w:sz="18" w:space="0" w:color="E3E3E4"/>
                    <w:right w:val="single" w:sz="8" w:space="0" w:color="E3E3E4"/>
                  </w:tcBorders>
                  <w:shd w:val="clear" w:color="auto" w:fill="auto"/>
                  <w:tcMar>
                    <w:top w:w="72" w:type="dxa"/>
                    <w:left w:w="144" w:type="dxa"/>
                    <w:bottom w:w="72" w:type="dxa"/>
                    <w:right w:w="144" w:type="dxa"/>
                  </w:tcMar>
                  <w:hideMark/>
                </w:tcPr>
                <w:p w14:paraId="5260426A"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b/>
                      <w:bCs/>
                    </w:rPr>
                    <w:t>City</w:t>
                  </w:r>
                </w:p>
              </w:tc>
              <w:tc>
                <w:tcPr>
                  <w:tcW w:w="983" w:type="pct"/>
                  <w:vMerge w:val="restart"/>
                  <w:tcBorders>
                    <w:top w:val="single" w:sz="8" w:space="0" w:color="E3E3E4"/>
                    <w:left w:val="single" w:sz="8" w:space="0" w:color="E3E3E4"/>
                    <w:bottom w:val="single" w:sz="18" w:space="0" w:color="E3E3E4"/>
                    <w:right w:val="single" w:sz="8" w:space="0" w:color="E3E3E4"/>
                  </w:tcBorders>
                  <w:shd w:val="clear" w:color="auto" w:fill="auto"/>
                  <w:tcMar>
                    <w:top w:w="72" w:type="dxa"/>
                    <w:left w:w="144" w:type="dxa"/>
                    <w:bottom w:w="72" w:type="dxa"/>
                    <w:right w:w="144" w:type="dxa"/>
                  </w:tcMar>
                  <w:hideMark/>
                </w:tcPr>
                <w:p w14:paraId="51E0B393"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b/>
                      <w:bCs/>
                    </w:rPr>
                    <w:t>Antenna size (m)</w:t>
                  </w:r>
                </w:p>
              </w:tc>
              <w:tc>
                <w:tcPr>
                  <w:tcW w:w="894" w:type="pct"/>
                  <w:vMerge w:val="restart"/>
                  <w:tcBorders>
                    <w:top w:val="single" w:sz="8" w:space="0" w:color="E3E3E4"/>
                    <w:left w:val="single" w:sz="8" w:space="0" w:color="E3E3E4"/>
                    <w:bottom w:val="single" w:sz="18" w:space="0" w:color="E3E3E4"/>
                    <w:right w:val="single" w:sz="8" w:space="0" w:color="E3E3E4"/>
                  </w:tcBorders>
                  <w:shd w:val="clear" w:color="auto" w:fill="auto"/>
                  <w:tcMar>
                    <w:top w:w="72" w:type="dxa"/>
                    <w:left w:w="144" w:type="dxa"/>
                    <w:bottom w:w="72" w:type="dxa"/>
                    <w:right w:w="144" w:type="dxa"/>
                  </w:tcMar>
                  <w:hideMark/>
                </w:tcPr>
                <w:p w14:paraId="3455EACA"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b/>
                      <w:bCs/>
                    </w:rPr>
                    <w:t>Satellite</w:t>
                  </w:r>
                </w:p>
              </w:tc>
              <w:tc>
                <w:tcPr>
                  <w:tcW w:w="715" w:type="pct"/>
                  <w:vMerge w:val="restart"/>
                  <w:tcBorders>
                    <w:top w:val="single" w:sz="8" w:space="0" w:color="E3E3E4"/>
                    <w:left w:val="single" w:sz="8" w:space="0" w:color="E3E3E4"/>
                    <w:bottom w:val="single" w:sz="18" w:space="0" w:color="E3E3E4"/>
                    <w:right w:val="single" w:sz="8" w:space="0" w:color="E3E3E4"/>
                  </w:tcBorders>
                  <w:shd w:val="clear" w:color="auto" w:fill="auto"/>
                  <w:tcMar>
                    <w:top w:w="72" w:type="dxa"/>
                    <w:left w:w="144" w:type="dxa"/>
                    <w:bottom w:w="72" w:type="dxa"/>
                    <w:right w:w="144" w:type="dxa"/>
                  </w:tcMar>
                  <w:hideMark/>
                </w:tcPr>
                <w:p w14:paraId="5F1D1FCC"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b/>
                      <w:bCs/>
                    </w:rPr>
                    <w:t>Elevation</w:t>
                  </w:r>
                </w:p>
              </w:tc>
              <w:tc>
                <w:tcPr>
                  <w:tcW w:w="1654" w:type="pct"/>
                  <w:gridSpan w:val="2"/>
                  <w:tcBorders>
                    <w:top w:val="single" w:sz="8" w:space="0" w:color="E3E3E4"/>
                    <w:left w:val="single" w:sz="8" w:space="0" w:color="E3E3E4"/>
                    <w:bottom w:val="single" w:sz="18" w:space="0" w:color="E3E3E4"/>
                    <w:right w:val="single" w:sz="8" w:space="0" w:color="E3E3E4"/>
                  </w:tcBorders>
                  <w:shd w:val="clear" w:color="auto" w:fill="auto"/>
                  <w:tcMar>
                    <w:top w:w="72" w:type="dxa"/>
                    <w:left w:w="144" w:type="dxa"/>
                    <w:bottom w:w="72" w:type="dxa"/>
                    <w:right w:w="144" w:type="dxa"/>
                  </w:tcMar>
                  <w:hideMark/>
                </w:tcPr>
                <w:p w14:paraId="7B59BBD5"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b/>
                      <w:bCs/>
                    </w:rPr>
                    <w:t>Separation distance (km)</w:t>
                  </w:r>
                </w:p>
              </w:tc>
            </w:tr>
            <w:tr w:rsidR="00CB2752" w:rsidRPr="005E42CC" w14:paraId="411DB8C9" w14:textId="77777777" w:rsidTr="00CB2752">
              <w:trPr>
                <w:trHeight w:val="467"/>
              </w:trPr>
              <w:tc>
                <w:tcPr>
                  <w:tcW w:w="755" w:type="pct"/>
                  <w:vMerge/>
                  <w:tcBorders>
                    <w:top w:val="single" w:sz="8" w:space="0" w:color="E3E3E4"/>
                    <w:left w:val="single" w:sz="8" w:space="0" w:color="E3E3E4"/>
                    <w:bottom w:val="single" w:sz="18" w:space="0" w:color="E3E3E4"/>
                    <w:right w:val="single" w:sz="8" w:space="0" w:color="E3E3E4"/>
                  </w:tcBorders>
                  <w:vAlign w:val="center"/>
                  <w:hideMark/>
                </w:tcPr>
                <w:p w14:paraId="43047603" w14:textId="77777777" w:rsidR="00CB2752" w:rsidRPr="005E42CC" w:rsidRDefault="00CB2752" w:rsidP="00305446">
                  <w:pPr>
                    <w:spacing w:after="0" w:line="240" w:lineRule="auto"/>
                    <w:jc w:val="center"/>
                    <w:rPr>
                      <w:rFonts w:asciiTheme="minorHAnsi" w:hAnsiTheme="minorHAnsi" w:cstheme="minorHAnsi"/>
                    </w:rPr>
                  </w:pPr>
                </w:p>
              </w:tc>
              <w:tc>
                <w:tcPr>
                  <w:tcW w:w="983" w:type="pct"/>
                  <w:vMerge/>
                  <w:tcBorders>
                    <w:top w:val="single" w:sz="8" w:space="0" w:color="E3E3E4"/>
                    <w:left w:val="single" w:sz="8" w:space="0" w:color="E3E3E4"/>
                    <w:bottom w:val="single" w:sz="18" w:space="0" w:color="E3E3E4"/>
                    <w:right w:val="single" w:sz="8" w:space="0" w:color="E3E3E4"/>
                  </w:tcBorders>
                  <w:vAlign w:val="center"/>
                  <w:hideMark/>
                </w:tcPr>
                <w:p w14:paraId="1D3020F7" w14:textId="77777777" w:rsidR="00CB2752" w:rsidRPr="005E42CC" w:rsidRDefault="00CB2752" w:rsidP="00305446">
                  <w:pPr>
                    <w:spacing w:after="0" w:line="240" w:lineRule="auto"/>
                    <w:jc w:val="center"/>
                    <w:rPr>
                      <w:rFonts w:asciiTheme="minorHAnsi" w:hAnsiTheme="minorHAnsi" w:cstheme="minorHAnsi"/>
                    </w:rPr>
                  </w:pPr>
                </w:p>
              </w:tc>
              <w:tc>
                <w:tcPr>
                  <w:tcW w:w="894" w:type="pct"/>
                  <w:vMerge/>
                  <w:tcBorders>
                    <w:top w:val="single" w:sz="8" w:space="0" w:color="E3E3E4"/>
                    <w:left w:val="single" w:sz="8" w:space="0" w:color="E3E3E4"/>
                    <w:bottom w:val="single" w:sz="18" w:space="0" w:color="E3E3E4"/>
                    <w:right w:val="single" w:sz="8" w:space="0" w:color="E3E3E4"/>
                  </w:tcBorders>
                  <w:vAlign w:val="center"/>
                  <w:hideMark/>
                </w:tcPr>
                <w:p w14:paraId="5A6D6F55" w14:textId="77777777" w:rsidR="00CB2752" w:rsidRPr="005E42CC" w:rsidRDefault="00CB2752" w:rsidP="00305446">
                  <w:pPr>
                    <w:spacing w:after="0" w:line="240" w:lineRule="auto"/>
                    <w:jc w:val="center"/>
                    <w:rPr>
                      <w:rFonts w:asciiTheme="minorHAnsi" w:hAnsiTheme="minorHAnsi" w:cstheme="minorHAnsi"/>
                    </w:rPr>
                  </w:pPr>
                </w:p>
              </w:tc>
              <w:tc>
                <w:tcPr>
                  <w:tcW w:w="715" w:type="pct"/>
                  <w:vMerge/>
                  <w:tcBorders>
                    <w:top w:val="single" w:sz="8" w:space="0" w:color="E3E3E4"/>
                    <w:left w:val="single" w:sz="8" w:space="0" w:color="E3E3E4"/>
                    <w:bottom w:val="single" w:sz="18" w:space="0" w:color="E3E3E4"/>
                    <w:right w:val="single" w:sz="8" w:space="0" w:color="E3E3E4"/>
                  </w:tcBorders>
                  <w:vAlign w:val="center"/>
                  <w:hideMark/>
                </w:tcPr>
                <w:p w14:paraId="3354F449" w14:textId="77777777" w:rsidR="00CB2752" w:rsidRPr="005E42CC" w:rsidRDefault="00CB2752" w:rsidP="00305446">
                  <w:pPr>
                    <w:spacing w:after="0" w:line="240" w:lineRule="auto"/>
                    <w:jc w:val="center"/>
                    <w:rPr>
                      <w:rFonts w:asciiTheme="minorHAnsi" w:hAnsiTheme="minorHAnsi" w:cstheme="minorHAnsi"/>
                    </w:rPr>
                  </w:pPr>
                </w:p>
              </w:tc>
              <w:tc>
                <w:tcPr>
                  <w:tcW w:w="759" w:type="pct"/>
                  <w:tcBorders>
                    <w:top w:val="single" w:sz="18" w:space="0" w:color="E3E3E4"/>
                    <w:left w:val="single" w:sz="18" w:space="0" w:color="E3E3E4"/>
                    <w:bottom w:val="single" w:sz="8" w:space="0" w:color="E3E3E4"/>
                    <w:right w:val="single" w:sz="8" w:space="0" w:color="E3E3E4"/>
                  </w:tcBorders>
                  <w:shd w:val="clear" w:color="auto" w:fill="FAFAFA"/>
                  <w:tcMar>
                    <w:top w:w="72" w:type="dxa"/>
                    <w:left w:w="144" w:type="dxa"/>
                    <w:bottom w:w="72" w:type="dxa"/>
                    <w:right w:w="144" w:type="dxa"/>
                  </w:tcMar>
                  <w:hideMark/>
                </w:tcPr>
                <w:p w14:paraId="5D2C5747"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rPr>
                    <w:t>MS1</w:t>
                  </w:r>
                </w:p>
              </w:tc>
              <w:tc>
                <w:tcPr>
                  <w:tcW w:w="894" w:type="pct"/>
                  <w:tcBorders>
                    <w:top w:val="single" w:sz="18" w:space="0" w:color="E3E3E4"/>
                    <w:left w:val="single" w:sz="8" w:space="0" w:color="E3E3E4"/>
                    <w:bottom w:val="single" w:sz="8" w:space="0" w:color="E3E3E4"/>
                    <w:right w:val="single" w:sz="8" w:space="0" w:color="E3E3E4"/>
                  </w:tcBorders>
                  <w:shd w:val="clear" w:color="auto" w:fill="FAFAFA"/>
                  <w:tcMar>
                    <w:top w:w="72" w:type="dxa"/>
                    <w:left w:w="144" w:type="dxa"/>
                    <w:bottom w:w="72" w:type="dxa"/>
                    <w:right w:w="144" w:type="dxa"/>
                  </w:tcMar>
                  <w:hideMark/>
                </w:tcPr>
                <w:p w14:paraId="091D38EE" w14:textId="77777777" w:rsidR="00CB2752" w:rsidRPr="005E42CC" w:rsidRDefault="00CB2752" w:rsidP="00305446">
                  <w:pPr>
                    <w:spacing w:after="0" w:line="240" w:lineRule="auto"/>
                    <w:jc w:val="center"/>
                    <w:rPr>
                      <w:rFonts w:asciiTheme="minorHAnsi" w:hAnsiTheme="minorHAnsi" w:cstheme="minorHAnsi"/>
                    </w:rPr>
                  </w:pPr>
                  <w:r w:rsidRPr="005E42CC">
                    <w:rPr>
                      <w:rFonts w:asciiTheme="minorHAnsi" w:hAnsiTheme="minorHAnsi" w:cstheme="minorHAnsi"/>
                    </w:rPr>
                    <w:t>MS2</w:t>
                  </w:r>
                </w:p>
              </w:tc>
            </w:tr>
            <w:tr w:rsidR="00305446" w:rsidRPr="005E42CC" w14:paraId="68D8D52B" w14:textId="77777777" w:rsidTr="00CB2752">
              <w:trPr>
                <w:trHeight w:val="276"/>
              </w:trPr>
              <w:tc>
                <w:tcPr>
                  <w:tcW w:w="755" w:type="pct"/>
                  <w:tcBorders>
                    <w:top w:val="nil"/>
                    <w:left w:val="nil"/>
                    <w:bottom w:val="nil"/>
                    <w:right w:val="nil"/>
                  </w:tcBorders>
                  <w:shd w:val="clear" w:color="auto" w:fill="D9EFFA"/>
                  <w:tcMar>
                    <w:top w:w="72" w:type="dxa"/>
                    <w:left w:w="144" w:type="dxa"/>
                    <w:bottom w:w="72" w:type="dxa"/>
                    <w:right w:w="144" w:type="dxa"/>
                  </w:tcMar>
                  <w:hideMark/>
                </w:tcPr>
                <w:p w14:paraId="2C46C4F2" w14:textId="77777777" w:rsidR="00CB2752" w:rsidRPr="005E42CC" w:rsidRDefault="00CB2752" w:rsidP="00305446">
                  <w:pPr>
                    <w:pStyle w:val="NoSpacing"/>
                    <w:rPr>
                      <w:rFonts w:cstheme="minorHAnsi"/>
                    </w:rPr>
                  </w:pPr>
                  <w:proofErr w:type="spellStart"/>
                  <w:r w:rsidRPr="005E42CC">
                    <w:rPr>
                      <w:rFonts w:cstheme="minorHAnsi"/>
                    </w:rPr>
                    <w:t>Lodwar</w:t>
                  </w:r>
                  <w:proofErr w:type="spellEnd"/>
                </w:p>
              </w:tc>
              <w:tc>
                <w:tcPr>
                  <w:tcW w:w="983" w:type="pct"/>
                  <w:tcBorders>
                    <w:top w:val="nil"/>
                    <w:left w:val="nil"/>
                    <w:bottom w:val="nil"/>
                    <w:right w:val="nil"/>
                  </w:tcBorders>
                  <w:shd w:val="clear" w:color="auto" w:fill="D9EFFA"/>
                  <w:tcMar>
                    <w:top w:w="72" w:type="dxa"/>
                    <w:left w:w="144" w:type="dxa"/>
                    <w:bottom w:w="72" w:type="dxa"/>
                    <w:right w:w="144" w:type="dxa"/>
                  </w:tcMar>
                  <w:hideMark/>
                </w:tcPr>
                <w:p w14:paraId="31FE4E28" w14:textId="77777777" w:rsidR="00CB2752" w:rsidRPr="005E42CC" w:rsidRDefault="00CB2752" w:rsidP="00305446">
                  <w:pPr>
                    <w:pStyle w:val="NoSpacing"/>
                    <w:jc w:val="center"/>
                    <w:rPr>
                      <w:rFonts w:cstheme="minorHAnsi"/>
                    </w:rPr>
                  </w:pPr>
                  <w:r w:rsidRPr="005E42CC">
                    <w:rPr>
                      <w:rFonts w:cstheme="minorHAnsi"/>
                    </w:rPr>
                    <w:t>2.4</w:t>
                  </w:r>
                </w:p>
              </w:tc>
              <w:tc>
                <w:tcPr>
                  <w:tcW w:w="894" w:type="pct"/>
                  <w:tcBorders>
                    <w:top w:val="nil"/>
                    <w:left w:val="nil"/>
                    <w:bottom w:val="nil"/>
                    <w:right w:val="nil"/>
                  </w:tcBorders>
                  <w:shd w:val="clear" w:color="auto" w:fill="D9EFFA"/>
                  <w:tcMar>
                    <w:top w:w="72" w:type="dxa"/>
                    <w:left w:w="144" w:type="dxa"/>
                    <w:bottom w:w="72" w:type="dxa"/>
                    <w:right w:w="144" w:type="dxa"/>
                  </w:tcMar>
                  <w:hideMark/>
                </w:tcPr>
                <w:p w14:paraId="040930FF" w14:textId="77777777" w:rsidR="00CB2752" w:rsidRPr="005E42CC" w:rsidRDefault="00CB2752" w:rsidP="00305446">
                  <w:pPr>
                    <w:pStyle w:val="NoSpacing"/>
                    <w:jc w:val="center"/>
                    <w:rPr>
                      <w:rFonts w:cstheme="minorHAnsi"/>
                    </w:rPr>
                  </w:pPr>
                  <w:r w:rsidRPr="005E42CC">
                    <w:rPr>
                      <w:rFonts w:cstheme="minorHAnsi"/>
                    </w:rPr>
                    <w:t>IS 22 (72.1 E)</w:t>
                  </w:r>
                </w:p>
              </w:tc>
              <w:tc>
                <w:tcPr>
                  <w:tcW w:w="715" w:type="pct"/>
                  <w:tcBorders>
                    <w:top w:val="nil"/>
                    <w:left w:val="nil"/>
                    <w:bottom w:val="nil"/>
                    <w:right w:val="nil"/>
                  </w:tcBorders>
                  <w:shd w:val="clear" w:color="auto" w:fill="D9EFFA"/>
                  <w:tcMar>
                    <w:top w:w="72" w:type="dxa"/>
                    <w:left w:w="144" w:type="dxa"/>
                    <w:bottom w:w="72" w:type="dxa"/>
                    <w:right w:w="144" w:type="dxa"/>
                  </w:tcMar>
                  <w:hideMark/>
                </w:tcPr>
                <w:p w14:paraId="6FA95FA8" w14:textId="77777777" w:rsidR="00CB2752" w:rsidRPr="005E42CC" w:rsidRDefault="00CB2752" w:rsidP="00305446">
                  <w:pPr>
                    <w:pStyle w:val="NoSpacing"/>
                    <w:jc w:val="center"/>
                    <w:rPr>
                      <w:rFonts w:cstheme="minorHAnsi"/>
                    </w:rPr>
                  </w:pPr>
                  <w:r w:rsidRPr="005E42CC">
                    <w:rPr>
                      <w:rFonts w:cstheme="minorHAnsi"/>
                    </w:rPr>
                    <w:t>46.7 °</w:t>
                  </w:r>
                </w:p>
              </w:tc>
              <w:tc>
                <w:tcPr>
                  <w:tcW w:w="759" w:type="pct"/>
                  <w:tcBorders>
                    <w:top w:val="nil"/>
                    <w:left w:val="nil"/>
                    <w:bottom w:val="nil"/>
                    <w:right w:val="nil"/>
                  </w:tcBorders>
                  <w:shd w:val="clear" w:color="auto" w:fill="D9EFFA"/>
                  <w:tcMar>
                    <w:top w:w="12" w:type="dxa"/>
                    <w:left w:w="12" w:type="dxa"/>
                    <w:bottom w:w="0" w:type="dxa"/>
                    <w:right w:w="12" w:type="dxa"/>
                  </w:tcMar>
                  <w:vAlign w:val="bottom"/>
                  <w:hideMark/>
                </w:tcPr>
                <w:p w14:paraId="4FC792A3" w14:textId="77777777" w:rsidR="00CB2752" w:rsidRPr="005E42CC" w:rsidRDefault="00CB2752" w:rsidP="00305446">
                  <w:pPr>
                    <w:pStyle w:val="NoSpacing"/>
                    <w:jc w:val="center"/>
                    <w:rPr>
                      <w:rFonts w:cstheme="minorHAnsi"/>
                    </w:rPr>
                  </w:pPr>
                  <w:r w:rsidRPr="005E42CC">
                    <w:rPr>
                      <w:rFonts w:cstheme="minorHAnsi"/>
                    </w:rPr>
                    <w:t>180</w:t>
                  </w:r>
                </w:p>
              </w:tc>
              <w:tc>
                <w:tcPr>
                  <w:tcW w:w="894" w:type="pct"/>
                  <w:tcBorders>
                    <w:top w:val="nil"/>
                    <w:left w:val="nil"/>
                    <w:bottom w:val="nil"/>
                    <w:right w:val="nil"/>
                  </w:tcBorders>
                  <w:shd w:val="clear" w:color="auto" w:fill="D9EFFA"/>
                  <w:tcMar>
                    <w:top w:w="12" w:type="dxa"/>
                    <w:left w:w="12" w:type="dxa"/>
                    <w:bottom w:w="0" w:type="dxa"/>
                    <w:right w:w="12" w:type="dxa"/>
                  </w:tcMar>
                  <w:vAlign w:val="bottom"/>
                  <w:hideMark/>
                </w:tcPr>
                <w:p w14:paraId="3651528E" w14:textId="77777777" w:rsidR="00CB2752" w:rsidRPr="005E42CC" w:rsidRDefault="00CB2752" w:rsidP="00305446">
                  <w:pPr>
                    <w:pStyle w:val="NoSpacing"/>
                    <w:jc w:val="center"/>
                    <w:rPr>
                      <w:rFonts w:cstheme="minorHAnsi"/>
                    </w:rPr>
                  </w:pPr>
                  <w:r w:rsidRPr="005E42CC">
                    <w:rPr>
                      <w:rFonts w:cstheme="minorHAnsi"/>
                    </w:rPr>
                    <w:t>178</w:t>
                  </w:r>
                </w:p>
              </w:tc>
            </w:tr>
            <w:tr w:rsidR="00305446" w:rsidRPr="005E42CC" w14:paraId="7AB2822F" w14:textId="77777777" w:rsidTr="00CB2752">
              <w:trPr>
                <w:trHeight w:val="410"/>
              </w:trPr>
              <w:tc>
                <w:tcPr>
                  <w:tcW w:w="755" w:type="pct"/>
                  <w:tcBorders>
                    <w:top w:val="nil"/>
                    <w:left w:val="nil"/>
                    <w:bottom w:val="nil"/>
                    <w:right w:val="nil"/>
                  </w:tcBorders>
                  <w:shd w:val="clear" w:color="auto" w:fill="FFF1D6"/>
                  <w:tcMar>
                    <w:top w:w="72" w:type="dxa"/>
                    <w:left w:w="144" w:type="dxa"/>
                    <w:bottom w:w="72" w:type="dxa"/>
                    <w:right w:w="144" w:type="dxa"/>
                  </w:tcMar>
                  <w:hideMark/>
                </w:tcPr>
                <w:p w14:paraId="6176CCAD" w14:textId="77777777" w:rsidR="00CB2752" w:rsidRPr="005E42CC" w:rsidRDefault="00CB2752" w:rsidP="00305446">
                  <w:pPr>
                    <w:pStyle w:val="NoSpacing"/>
                    <w:rPr>
                      <w:rFonts w:cstheme="minorHAnsi"/>
                    </w:rPr>
                  </w:pPr>
                  <w:proofErr w:type="spellStart"/>
                  <w:r w:rsidRPr="005E42CC">
                    <w:rPr>
                      <w:rFonts w:cstheme="minorHAnsi"/>
                    </w:rPr>
                    <w:t>Isiolo</w:t>
                  </w:r>
                  <w:proofErr w:type="spellEnd"/>
                  <w:r w:rsidRPr="005E42CC">
                    <w:rPr>
                      <w:rFonts w:cstheme="minorHAnsi"/>
                    </w:rPr>
                    <w:t xml:space="preserve"> County</w:t>
                  </w:r>
                </w:p>
              </w:tc>
              <w:tc>
                <w:tcPr>
                  <w:tcW w:w="983" w:type="pct"/>
                  <w:tcBorders>
                    <w:top w:val="nil"/>
                    <w:left w:val="nil"/>
                    <w:bottom w:val="nil"/>
                    <w:right w:val="nil"/>
                  </w:tcBorders>
                  <w:shd w:val="clear" w:color="auto" w:fill="FFF1D6"/>
                  <w:tcMar>
                    <w:top w:w="72" w:type="dxa"/>
                    <w:left w:w="144" w:type="dxa"/>
                    <w:bottom w:w="72" w:type="dxa"/>
                    <w:right w:w="144" w:type="dxa"/>
                  </w:tcMar>
                  <w:hideMark/>
                </w:tcPr>
                <w:p w14:paraId="259704EE" w14:textId="77777777" w:rsidR="00CB2752" w:rsidRPr="005E42CC" w:rsidRDefault="00CB2752" w:rsidP="00305446">
                  <w:pPr>
                    <w:pStyle w:val="NoSpacing"/>
                    <w:jc w:val="center"/>
                    <w:rPr>
                      <w:rFonts w:cstheme="minorHAnsi"/>
                    </w:rPr>
                  </w:pPr>
                  <w:r w:rsidRPr="005E42CC">
                    <w:rPr>
                      <w:rFonts w:cstheme="minorHAnsi"/>
                    </w:rPr>
                    <w:t>3.7</w:t>
                  </w:r>
                </w:p>
              </w:tc>
              <w:tc>
                <w:tcPr>
                  <w:tcW w:w="894" w:type="pct"/>
                  <w:tcBorders>
                    <w:top w:val="nil"/>
                    <w:left w:val="nil"/>
                    <w:bottom w:val="nil"/>
                    <w:right w:val="nil"/>
                  </w:tcBorders>
                  <w:shd w:val="clear" w:color="auto" w:fill="FFF1D6"/>
                  <w:tcMar>
                    <w:top w:w="72" w:type="dxa"/>
                    <w:left w:w="144" w:type="dxa"/>
                    <w:bottom w:w="72" w:type="dxa"/>
                    <w:right w:w="144" w:type="dxa"/>
                  </w:tcMar>
                  <w:hideMark/>
                </w:tcPr>
                <w:p w14:paraId="2DA4F082" w14:textId="77777777" w:rsidR="00CB2752" w:rsidRPr="005E42CC" w:rsidRDefault="00CB2752" w:rsidP="00305446">
                  <w:pPr>
                    <w:pStyle w:val="NoSpacing"/>
                    <w:jc w:val="center"/>
                    <w:rPr>
                      <w:rFonts w:cstheme="minorHAnsi"/>
                    </w:rPr>
                  </w:pPr>
                  <w:r w:rsidRPr="005E42CC">
                    <w:rPr>
                      <w:rFonts w:cstheme="minorHAnsi"/>
                    </w:rPr>
                    <w:t>IS 22 (72.1 E)</w:t>
                  </w:r>
                </w:p>
              </w:tc>
              <w:tc>
                <w:tcPr>
                  <w:tcW w:w="715" w:type="pct"/>
                  <w:tcBorders>
                    <w:top w:val="nil"/>
                    <w:left w:val="nil"/>
                    <w:bottom w:val="nil"/>
                    <w:right w:val="nil"/>
                  </w:tcBorders>
                  <w:shd w:val="clear" w:color="auto" w:fill="FFF1D6"/>
                  <w:tcMar>
                    <w:top w:w="72" w:type="dxa"/>
                    <w:left w:w="144" w:type="dxa"/>
                    <w:bottom w:w="72" w:type="dxa"/>
                    <w:right w:w="144" w:type="dxa"/>
                  </w:tcMar>
                  <w:hideMark/>
                </w:tcPr>
                <w:p w14:paraId="2BAB8119" w14:textId="77777777" w:rsidR="00CB2752" w:rsidRPr="005E42CC" w:rsidRDefault="00CB2752" w:rsidP="00305446">
                  <w:pPr>
                    <w:pStyle w:val="NoSpacing"/>
                    <w:jc w:val="center"/>
                    <w:rPr>
                      <w:rFonts w:cstheme="minorHAnsi"/>
                    </w:rPr>
                  </w:pPr>
                  <w:r w:rsidRPr="005E42CC">
                    <w:rPr>
                      <w:rFonts w:cstheme="minorHAnsi"/>
                    </w:rPr>
                    <w:t>50.7°</w:t>
                  </w:r>
                </w:p>
              </w:tc>
              <w:tc>
                <w:tcPr>
                  <w:tcW w:w="759" w:type="pct"/>
                  <w:tcBorders>
                    <w:top w:val="nil"/>
                    <w:left w:val="nil"/>
                    <w:bottom w:val="nil"/>
                    <w:right w:val="nil"/>
                  </w:tcBorders>
                  <w:shd w:val="clear" w:color="auto" w:fill="FFF1D6"/>
                  <w:tcMar>
                    <w:top w:w="12" w:type="dxa"/>
                    <w:left w:w="12" w:type="dxa"/>
                    <w:bottom w:w="0" w:type="dxa"/>
                    <w:right w:w="12" w:type="dxa"/>
                  </w:tcMar>
                  <w:vAlign w:val="bottom"/>
                  <w:hideMark/>
                </w:tcPr>
                <w:p w14:paraId="6D8455B3" w14:textId="77777777" w:rsidR="00CB2752" w:rsidRPr="005E42CC" w:rsidRDefault="00CB2752" w:rsidP="00305446">
                  <w:pPr>
                    <w:pStyle w:val="NoSpacing"/>
                    <w:jc w:val="center"/>
                    <w:rPr>
                      <w:rFonts w:cstheme="minorHAnsi"/>
                    </w:rPr>
                  </w:pPr>
                  <w:r w:rsidRPr="005E42CC">
                    <w:rPr>
                      <w:rFonts w:cstheme="minorHAnsi"/>
                    </w:rPr>
                    <w:t>176</w:t>
                  </w:r>
                </w:p>
              </w:tc>
              <w:tc>
                <w:tcPr>
                  <w:tcW w:w="894" w:type="pct"/>
                  <w:tcBorders>
                    <w:top w:val="nil"/>
                    <w:left w:val="nil"/>
                    <w:bottom w:val="nil"/>
                    <w:right w:val="nil"/>
                  </w:tcBorders>
                  <w:shd w:val="clear" w:color="auto" w:fill="FFF1D6"/>
                  <w:tcMar>
                    <w:top w:w="12" w:type="dxa"/>
                    <w:left w:w="12" w:type="dxa"/>
                    <w:bottom w:w="0" w:type="dxa"/>
                    <w:right w:w="12" w:type="dxa"/>
                  </w:tcMar>
                  <w:vAlign w:val="bottom"/>
                  <w:hideMark/>
                </w:tcPr>
                <w:p w14:paraId="08D8A805" w14:textId="77777777" w:rsidR="00CB2752" w:rsidRPr="005E42CC" w:rsidRDefault="00CB2752" w:rsidP="00305446">
                  <w:pPr>
                    <w:pStyle w:val="NoSpacing"/>
                    <w:jc w:val="center"/>
                    <w:rPr>
                      <w:rFonts w:cstheme="minorHAnsi"/>
                    </w:rPr>
                  </w:pPr>
                  <w:r w:rsidRPr="005E42CC">
                    <w:rPr>
                      <w:rFonts w:cstheme="minorHAnsi"/>
                    </w:rPr>
                    <w:t>176</w:t>
                  </w:r>
                </w:p>
              </w:tc>
            </w:tr>
            <w:tr w:rsidR="00305446" w:rsidRPr="005E42CC" w14:paraId="1FD8640F" w14:textId="77777777" w:rsidTr="00CB2752">
              <w:trPr>
                <w:trHeight w:val="311"/>
              </w:trPr>
              <w:tc>
                <w:tcPr>
                  <w:tcW w:w="755" w:type="pct"/>
                  <w:tcBorders>
                    <w:top w:val="nil"/>
                    <w:left w:val="nil"/>
                    <w:bottom w:val="nil"/>
                    <w:right w:val="nil"/>
                  </w:tcBorders>
                  <w:shd w:val="clear" w:color="auto" w:fill="D9EFFA"/>
                  <w:tcMar>
                    <w:top w:w="72" w:type="dxa"/>
                    <w:left w:w="144" w:type="dxa"/>
                    <w:bottom w:w="72" w:type="dxa"/>
                    <w:right w:w="144" w:type="dxa"/>
                  </w:tcMar>
                  <w:hideMark/>
                </w:tcPr>
                <w:p w14:paraId="2D393205" w14:textId="77777777" w:rsidR="00CB2752" w:rsidRPr="005E42CC" w:rsidRDefault="00CB2752" w:rsidP="00305446">
                  <w:pPr>
                    <w:pStyle w:val="NoSpacing"/>
                    <w:rPr>
                      <w:rFonts w:cstheme="minorHAnsi"/>
                    </w:rPr>
                  </w:pPr>
                  <w:r w:rsidRPr="005E42CC">
                    <w:rPr>
                      <w:rFonts w:cstheme="minorHAnsi"/>
                    </w:rPr>
                    <w:t>Nairobi</w:t>
                  </w:r>
                </w:p>
              </w:tc>
              <w:tc>
                <w:tcPr>
                  <w:tcW w:w="983" w:type="pct"/>
                  <w:tcBorders>
                    <w:top w:val="nil"/>
                    <w:left w:val="nil"/>
                    <w:bottom w:val="nil"/>
                    <w:right w:val="nil"/>
                  </w:tcBorders>
                  <w:shd w:val="clear" w:color="auto" w:fill="D9EFFA"/>
                  <w:tcMar>
                    <w:top w:w="72" w:type="dxa"/>
                    <w:left w:w="144" w:type="dxa"/>
                    <w:bottom w:w="72" w:type="dxa"/>
                    <w:right w:w="144" w:type="dxa"/>
                  </w:tcMar>
                  <w:hideMark/>
                </w:tcPr>
                <w:p w14:paraId="0640C7DB" w14:textId="77777777" w:rsidR="00CB2752" w:rsidRPr="005E42CC" w:rsidRDefault="00CB2752" w:rsidP="00305446">
                  <w:pPr>
                    <w:pStyle w:val="NoSpacing"/>
                    <w:jc w:val="center"/>
                    <w:rPr>
                      <w:rFonts w:cstheme="minorHAnsi"/>
                    </w:rPr>
                  </w:pPr>
                  <w:r w:rsidRPr="005E42CC">
                    <w:rPr>
                      <w:rFonts w:cstheme="minorHAnsi"/>
                    </w:rPr>
                    <w:t>9.3</w:t>
                  </w:r>
                </w:p>
              </w:tc>
              <w:tc>
                <w:tcPr>
                  <w:tcW w:w="894" w:type="pct"/>
                  <w:tcBorders>
                    <w:top w:val="nil"/>
                    <w:left w:val="nil"/>
                    <w:bottom w:val="nil"/>
                    <w:right w:val="nil"/>
                  </w:tcBorders>
                  <w:shd w:val="clear" w:color="auto" w:fill="D9EFFA"/>
                  <w:tcMar>
                    <w:top w:w="72" w:type="dxa"/>
                    <w:left w:w="144" w:type="dxa"/>
                    <w:bottom w:w="72" w:type="dxa"/>
                    <w:right w:w="144" w:type="dxa"/>
                  </w:tcMar>
                  <w:hideMark/>
                </w:tcPr>
                <w:p w14:paraId="7E3FCE75" w14:textId="77777777" w:rsidR="00CB2752" w:rsidRPr="005E42CC" w:rsidRDefault="00CB2752" w:rsidP="00305446">
                  <w:pPr>
                    <w:pStyle w:val="NoSpacing"/>
                    <w:jc w:val="center"/>
                    <w:rPr>
                      <w:rFonts w:cstheme="minorHAnsi"/>
                    </w:rPr>
                  </w:pPr>
                  <w:r w:rsidRPr="005E42CC">
                    <w:rPr>
                      <w:rFonts w:cstheme="minorHAnsi"/>
                    </w:rPr>
                    <w:t>IS 37e (18W)</w:t>
                  </w:r>
                </w:p>
              </w:tc>
              <w:tc>
                <w:tcPr>
                  <w:tcW w:w="715" w:type="pct"/>
                  <w:tcBorders>
                    <w:top w:val="nil"/>
                    <w:left w:val="nil"/>
                    <w:bottom w:val="nil"/>
                    <w:right w:val="nil"/>
                  </w:tcBorders>
                  <w:shd w:val="clear" w:color="auto" w:fill="D9EFFA"/>
                  <w:tcMar>
                    <w:top w:w="72" w:type="dxa"/>
                    <w:left w:w="144" w:type="dxa"/>
                    <w:bottom w:w="72" w:type="dxa"/>
                    <w:right w:w="144" w:type="dxa"/>
                  </w:tcMar>
                  <w:hideMark/>
                </w:tcPr>
                <w:p w14:paraId="70E05DA8" w14:textId="77777777" w:rsidR="00CB2752" w:rsidRPr="005E42CC" w:rsidRDefault="00CB2752" w:rsidP="00305446">
                  <w:pPr>
                    <w:pStyle w:val="NoSpacing"/>
                    <w:jc w:val="center"/>
                    <w:rPr>
                      <w:rFonts w:cstheme="minorHAnsi"/>
                    </w:rPr>
                  </w:pPr>
                  <w:r w:rsidRPr="005E42CC">
                    <w:rPr>
                      <w:rFonts w:cstheme="minorHAnsi"/>
                    </w:rPr>
                    <w:t>27.3°</w:t>
                  </w:r>
                </w:p>
              </w:tc>
              <w:tc>
                <w:tcPr>
                  <w:tcW w:w="759" w:type="pct"/>
                  <w:tcBorders>
                    <w:top w:val="nil"/>
                    <w:left w:val="nil"/>
                    <w:bottom w:val="nil"/>
                    <w:right w:val="nil"/>
                  </w:tcBorders>
                  <w:shd w:val="clear" w:color="auto" w:fill="D9EFFA"/>
                  <w:tcMar>
                    <w:top w:w="12" w:type="dxa"/>
                    <w:left w:w="12" w:type="dxa"/>
                    <w:bottom w:w="0" w:type="dxa"/>
                    <w:right w:w="12" w:type="dxa"/>
                  </w:tcMar>
                  <w:vAlign w:val="bottom"/>
                  <w:hideMark/>
                </w:tcPr>
                <w:p w14:paraId="6A75D94F" w14:textId="77777777" w:rsidR="00CB2752" w:rsidRPr="005E42CC" w:rsidRDefault="00CB2752" w:rsidP="00305446">
                  <w:pPr>
                    <w:pStyle w:val="NoSpacing"/>
                    <w:jc w:val="center"/>
                    <w:rPr>
                      <w:rFonts w:cstheme="minorHAnsi"/>
                    </w:rPr>
                  </w:pPr>
                  <w:r w:rsidRPr="005E42CC">
                    <w:rPr>
                      <w:rFonts w:cstheme="minorHAnsi"/>
                    </w:rPr>
                    <w:t>141</w:t>
                  </w:r>
                </w:p>
              </w:tc>
              <w:tc>
                <w:tcPr>
                  <w:tcW w:w="894" w:type="pct"/>
                  <w:tcBorders>
                    <w:top w:val="nil"/>
                    <w:left w:val="nil"/>
                    <w:bottom w:val="nil"/>
                    <w:right w:val="nil"/>
                  </w:tcBorders>
                  <w:shd w:val="clear" w:color="auto" w:fill="D9EFFA"/>
                  <w:tcMar>
                    <w:top w:w="12" w:type="dxa"/>
                    <w:left w:w="12" w:type="dxa"/>
                    <w:bottom w:w="0" w:type="dxa"/>
                    <w:right w:w="12" w:type="dxa"/>
                  </w:tcMar>
                  <w:vAlign w:val="bottom"/>
                  <w:hideMark/>
                </w:tcPr>
                <w:p w14:paraId="461E9F77" w14:textId="77777777" w:rsidR="00CB2752" w:rsidRPr="005E42CC" w:rsidRDefault="00CB2752" w:rsidP="00305446">
                  <w:pPr>
                    <w:pStyle w:val="NoSpacing"/>
                    <w:jc w:val="center"/>
                    <w:rPr>
                      <w:rFonts w:cstheme="minorHAnsi"/>
                    </w:rPr>
                  </w:pPr>
                  <w:r w:rsidRPr="005E42CC">
                    <w:rPr>
                      <w:rFonts w:cstheme="minorHAnsi"/>
                    </w:rPr>
                    <w:t>141</w:t>
                  </w:r>
                </w:p>
              </w:tc>
            </w:tr>
            <w:tr w:rsidR="00305446" w:rsidRPr="005E42CC" w14:paraId="5BE43E8F" w14:textId="77777777" w:rsidTr="00CB2752">
              <w:trPr>
                <w:trHeight w:val="311"/>
              </w:trPr>
              <w:tc>
                <w:tcPr>
                  <w:tcW w:w="755" w:type="pct"/>
                  <w:tcBorders>
                    <w:top w:val="nil"/>
                    <w:left w:val="nil"/>
                    <w:bottom w:val="nil"/>
                    <w:right w:val="nil"/>
                  </w:tcBorders>
                  <w:shd w:val="clear" w:color="auto" w:fill="FFF1D6"/>
                  <w:tcMar>
                    <w:top w:w="72" w:type="dxa"/>
                    <w:left w:w="144" w:type="dxa"/>
                    <w:bottom w:w="72" w:type="dxa"/>
                    <w:right w:w="144" w:type="dxa"/>
                  </w:tcMar>
                  <w:hideMark/>
                </w:tcPr>
                <w:p w14:paraId="4B836665" w14:textId="77777777" w:rsidR="00CB2752" w:rsidRPr="005E42CC" w:rsidRDefault="00CB2752" w:rsidP="00305446">
                  <w:pPr>
                    <w:pStyle w:val="NoSpacing"/>
                    <w:rPr>
                      <w:rFonts w:cstheme="minorHAnsi"/>
                    </w:rPr>
                  </w:pPr>
                  <w:r w:rsidRPr="005E42CC">
                    <w:rPr>
                      <w:rFonts w:cstheme="minorHAnsi"/>
                    </w:rPr>
                    <w:t>Tana River</w:t>
                  </w:r>
                </w:p>
              </w:tc>
              <w:tc>
                <w:tcPr>
                  <w:tcW w:w="983" w:type="pct"/>
                  <w:tcBorders>
                    <w:top w:val="nil"/>
                    <w:left w:val="nil"/>
                    <w:bottom w:val="nil"/>
                    <w:right w:val="nil"/>
                  </w:tcBorders>
                  <w:shd w:val="clear" w:color="auto" w:fill="FFF1D6"/>
                  <w:tcMar>
                    <w:top w:w="72" w:type="dxa"/>
                    <w:left w:w="144" w:type="dxa"/>
                    <w:bottom w:w="72" w:type="dxa"/>
                    <w:right w:w="144" w:type="dxa"/>
                  </w:tcMar>
                  <w:hideMark/>
                </w:tcPr>
                <w:p w14:paraId="0AFC0D75" w14:textId="77777777" w:rsidR="00CB2752" w:rsidRPr="005E42CC" w:rsidRDefault="00CB2752" w:rsidP="00305446">
                  <w:pPr>
                    <w:pStyle w:val="NoSpacing"/>
                    <w:jc w:val="center"/>
                    <w:rPr>
                      <w:rFonts w:cstheme="minorHAnsi"/>
                    </w:rPr>
                  </w:pPr>
                  <w:r w:rsidRPr="005E42CC">
                    <w:rPr>
                      <w:rFonts w:cstheme="minorHAnsi"/>
                    </w:rPr>
                    <w:t>3.8</w:t>
                  </w:r>
                </w:p>
              </w:tc>
              <w:tc>
                <w:tcPr>
                  <w:tcW w:w="894" w:type="pct"/>
                  <w:tcBorders>
                    <w:top w:val="nil"/>
                    <w:left w:val="nil"/>
                    <w:bottom w:val="nil"/>
                    <w:right w:val="nil"/>
                  </w:tcBorders>
                  <w:shd w:val="clear" w:color="auto" w:fill="FFF1D6"/>
                  <w:tcMar>
                    <w:top w:w="72" w:type="dxa"/>
                    <w:left w:w="144" w:type="dxa"/>
                    <w:bottom w:w="72" w:type="dxa"/>
                    <w:right w:w="144" w:type="dxa"/>
                  </w:tcMar>
                  <w:hideMark/>
                </w:tcPr>
                <w:p w14:paraId="029CF00A" w14:textId="77777777" w:rsidR="00CB2752" w:rsidRPr="005E42CC" w:rsidRDefault="00CB2752" w:rsidP="00305446">
                  <w:pPr>
                    <w:pStyle w:val="NoSpacing"/>
                    <w:jc w:val="center"/>
                    <w:rPr>
                      <w:rFonts w:cstheme="minorHAnsi"/>
                    </w:rPr>
                  </w:pPr>
                  <w:r w:rsidRPr="005E42CC">
                    <w:rPr>
                      <w:rFonts w:cstheme="minorHAnsi"/>
                    </w:rPr>
                    <w:t>IS 39 (61.95 E)</w:t>
                  </w:r>
                </w:p>
              </w:tc>
              <w:tc>
                <w:tcPr>
                  <w:tcW w:w="715" w:type="pct"/>
                  <w:tcBorders>
                    <w:top w:val="nil"/>
                    <w:left w:val="nil"/>
                    <w:bottom w:val="nil"/>
                    <w:right w:val="nil"/>
                  </w:tcBorders>
                  <w:shd w:val="clear" w:color="auto" w:fill="FFF1D6"/>
                  <w:tcMar>
                    <w:top w:w="72" w:type="dxa"/>
                    <w:left w:w="144" w:type="dxa"/>
                    <w:bottom w:w="72" w:type="dxa"/>
                    <w:right w:w="144" w:type="dxa"/>
                  </w:tcMar>
                  <w:hideMark/>
                </w:tcPr>
                <w:p w14:paraId="59B15B64" w14:textId="77777777" w:rsidR="00CB2752" w:rsidRPr="005E42CC" w:rsidRDefault="00CB2752" w:rsidP="00305446">
                  <w:pPr>
                    <w:pStyle w:val="NoSpacing"/>
                    <w:jc w:val="center"/>
                    <w:rPr>
                      <w:rFonts w:cstheme="minorHAnsi"/>
                    </w:rPr>
                  </w:pPr>
                  <w:r w:rsidRPr="005E42CC">
                    <w:rPr>
                      <w:rFonts w:cstheme="minorHAnsi"/>
                    </w:rPr>
                    <w:t>63.5°</w:t>
                  </w:r>
                </w:p>
              </w:tc>
              <w:tc>
                <w:tcPr>
                  <w:tcW w:w="759" w:type="pct"/>
                  <w:tcBorders>
                    <w:top w:val="nil"/>
                    <w:left w:val="nil"/>
                    <w:bottom w:val="nil"/>
                    <w:right w:val="nil"/>
                  </w:tcBorders>
                  <w:shd w:val="clear" w:color="auto" w:fill="FFF1D6"/>
                  <w:tcMar>
                    <w:top w:w="12" w:type="dxa"/>
                    <w:left w:w="12" w:type="dxa"/>
                    <w:bottom w:w="0" w:type="dxa"/>
                    <w:right w:w="12" w:type="dxa"/>
                  </w:tcMar>
                  <w:vAlign w:val="bottom"/>
                  <w:hideMark/>
                </w:tcPr>
                <w:p w14:paraId="040BE82C" w14:textId="77777777" w:rsidR="00CB2752" w:rsidRPr="005E42CC" w:rsidRDefault="00CB2752" w:rsidP="00305446">
                  <w:pPr>
                    <w:pStyle w:val="NoSpacing"/>
                    <w:jc w:val="center"/>
                    <w:rPr>
                      <w:rFonts w:cstheme="minorHAnsi"/>
                    </w:rPr>
                  </w:pPr>
                  <w:r w:rsidRPr="005E42CC">
                    <w:rPr>
                      <w:rFonts w:cstheme="minorHAnsi"/>
                    </w:rPr>
                    <w:t>268</w:t>
                  </w:r>
                </w:p>
              </w:tc>
              <w:tc>
                <w:tcPr>
                  <w:tcW w:w="894" w:type="pct"/>
                  <w:tcBorders>
                    <w:top w:val="nil"/>
                    <w:left w:val="nil"/>
                    <w:bottom w:val="nil"/>
                    <w:right w:val="nil"/>
                  </w:tcBorders>
                  <w:shd w:val="clear" w:color="auto" w:fill="FFF1D6"/>
                  <w:tcMar>
                    <w:top w:w="12" w:type="dxa"/>
                    <w:left w:w="12" w:type="dxa"/>
                    <w:bottom w:w="0" w:type="dxa"/>
                    <w:right w:w="12" w:type="dxa"/>
                  </w:tcMar>
                  <w:vAlign w:val="bottom"/>
                  <w:hideMark/>
                </w:tcPr>
                <w:p w14:paraId="57D6861F" w14:textId="77777777" w:rsidR="00CB2752" w:rsidRPr="005E42CC" w:rsidRDefault="00CB2752" w:rsidP="00305446">
                  <w:pPr>
                    <w:pStyle w:val="NoSpacing"/>
                    <w:jc w:val="center"/>
                    <w:rPr>
                      <w:rFonts w:cstheme="minorHAnsi"/>
                    </w:rPr>
                  </w:pPr>
                  <w:r w:rsidRPr="005E42CC">
                    <w:rPr>
                      <w:rFonts w:cstheme="minorHAnsi"/>
                    </w:rPr>
                    <w:t>248</w:t>
                  </w:r>
                </w:p>
              </w:tc>
            </w:tr>
          </w:tbl>
          <w:p w14:paraId="06478C4B" w14:textId="77777777" w:rsidR="00CB2752" w:rsidRPr="005E42CC" w:rsidRDefault="00CB2752" w:rsidP="003054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line="240" w:lineRule="auto"/>
              <w:jc w:val="center"/>
              <w:textAlignment w:val="baseline"/>
              <w:rPr>
                <w:rFonts w:asciiTheme="minorHAnsi" w:eastAsiaTheme="minorEastAsia" w:hAnsiTheme="minorHAnsi" w:cstheme="minorHAnsi"/>
                <w:b/>
                <w:lang w:val="en-GB"/>
              </w:rPr>
            </w:pPr>
            <w:r w:rsidRPr="005E42CC">
              <w:rPr>
                <w:rFonts w:asciiTheme="minorHAnsi" w:eastAsiaTheme="minorEastAsia" w:hAnsiTheme="minorHAnsi" w:cstheme="minorHAnsi"/>
                <w:b/>
                <w:lang w:val="en-GB"/>
              </w:rPr>
              <w:t>Table 5: Summary of separation distances per site.</w:t>
            </w:r>
          </w:p>
          <w:p w14:paraId="78B5A0AB" w14:textId="77777777" w:rsidR="00CB2752" w:rsidRPr="005E42CC" w:rsidRDefault="00CB2752" w:rsidP="00305446">
            <w:pPr>
              <w:spacing w:after="0" w:line="240" w:lineRule="auto"/>
              <w:jc w:val="both"/>
              <w:rPr>
                <w:rFonts w:asciiTheme="minorHAnsi" w:hAnsiTheme="minorHAnsi" w:cstheme="minorHAnsi"/>
                <w:lang w:val="en-GB"/>
              </w:rPr>
            </w:pPr>
          </w:p>
          <w:p w14:paraId="2985EA31" w14:textId="77777777" w:rsidR="00CB2752" w:rsidRPr="005E42CC" w:rsidRDefault="00CB2752" w:rsidP="00305446">
            <w:pPr>
              <w:spacing w:after="0" w:line="240" w:lineRule="auto"/>
              <w:jc w:val="both"/>
              <w:rPr>
                <w:rFonts w:asciiTheme="minorHAnsi" w:eastAsia="Times New Roman" w:hAnsiTheme="minorHAnsi" w:cstheme="minorHAnsi"/>
                <w:b/>
                <w:bCs/>
                <w:u w:val="single"/>
                <w:lang w:val="en-GB"/>
              </w:rPr>
            </w:pPr>
            <w:r w:rsidRPr="005E42CC">
              <w:rPr>
                <w:rFonts w:asciiTheme="minorHAnsi" w:eastAsia="Times New Roman" w:hAnsiTheme="minorHAnsi" w:cstheme="minorHAnsi"/>
                <w:b/>
                <w:bCs/>
                <w:u w:val="single"/>
                <w:lang w:val="en-GB"/>
              </w:rPr>
              <w:t xml:space="preserve">Comparison to the existing ITU-R studies </w:t>
            </w:r>
          </w:p>
          <w:p w14:paraId="27E54584" w14:textId="77777777" w:rsidR="00362351" w:rsidRPr="005E42CC" w:rsidRDefault="00362351" w:rsidP="0030544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Based on the single-entry analysis of 4 sites across Kenya, it is shown that the separation distances could vary from 141 km to 268 km depending on the terrain, antenna size and actual FSS receiver characteristics, such as antenna size and elevation angle. </w:t>
            </w:r>
          </w:p>
          <w:p w14:paraId="21A8A382" w14:textId="168B46D1" w:rsidR="00362351" w:rsidRPr="005E42CC" w:rsidRDefault="00362351" w:rsidP="00305446">
            <w:p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The results of these studies indicate that in some cases significantly larger separation distances would be required than those indicated in the sharing studies in Report ITU-R S.2368 and Report ITU-R M.2109. Especially earth stations located in Tana River would receive interference from </w:t>
            </w:r>
            <w:r w:rsidR="001101D3" w:rsidRPr="005E42CC">
              <w:rPr>
                <w:rFonts w:asciiTheme="minorHAnsi" w:eastAsiaTheme="minorHAnsi" w:hAnsiTheme="minorHAnsi" w:cstheme="minorHAnsi"/>
                <w:lang w:val="en-GB"/>
              </w:rPr>
              <w:t>a</w:t>
            </w:r>
            <w:r w:rsidRPr="005E42CC">
              <w:rPr>
                <w:rFonts w:asciiTheme="minorHAnsi" w:eastAsiaTheme="minorHAnsi" w:hAnsiTheme="minorHAnsi" w:cstheme="minorHAnsi"/>
                <w:lang w:val="en-GB"/>
              </w:rPr>
              <w:t xml:space="preserve"> Mobile BS over very large distances due to the flat terrain profile.  </w:t>
            </w:r>
          </w:p>
          <w:p w14:paraId="3ABFC853" w14:textId="77777777" w:rsidR="00956D26" w:rsidRPr="005E42CC" w:rsidRDefault="00956D26" w:rsidP="00305446">
            <w:pPr>
              <w:spacing w:after="0" w:line="240" w:lineRule="auto"/>
              <w:rPr>
                <w:rFonts w:asciiTheme="minorHAnsi" w:eastAsiaTheme="minorHAnsi" w:hAnsiTheme="minorHAnsi" w:cstheme="minorHAnsi"/>
                <w:lang w:val="en-GB"/>
              </w:rPr>
            </w:pPr>
          </w:p>
          <w:p w14:paraId="5D9581CD" w14:textId="5AD865A1" w:rsidR="00362351" w:rsidRPr="005E42CC" w:rsidRDefault="00362351" w:rsidP="00305446">
            <w:pPr>
              <w:spacing w:after="0" w:line="240" w:lineRule="auto"/>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All results in this study are based on interference caused by a single Mobile </w:t>
            </w:r>
            <w:r w:rsidR="001101D3" w:rsidRPr="005E42CC">
              <w:rPr>
                <w:rFonts w:asciiTheme="minorHAnsi" w:eastAsiaTheme="minorHAnsi" w:hAnsiTheme="minorHAnsi" w:cstheme="minorHAnsi"/>
                <w:lang w:val="en-GB"/>
              </w:rPr>
              <w:t>macro-BS</w:t>
            </w:r>
            <w:r w:rsidRPr="005E42CC">
              <w:rPr>
                <w:rFonts w:asciiTheme="minorHAnsi" w:eastAsiaTheme="minorHAnsi" w:hAnsiTheme="minorHAnsi" w:cstheme="minorHAnsi"/>
                <w:lang w:val="en-GB"/>
              </w:rPr>
              <w:t xml:space="preserve"> and the aggregate impact of other services or the full Mobile deployment has not been considered. Taking into account these aspects would increase the required separation distance. </w:t>
            </w:r>
          </w:p>
          <w:p w14:paraId="23ED2984" w14:textId="77777777" w:rsidR="00956D26" w:rsidRPr="005E42CC" w:rsidRDefault="00956D26" w:rsidP="00305446">
            <w:pPr>
              <w:spacing w:after="0" w:line="240" w:lineRule="auto"/>
              <w:jc w:val="both"/>
              <w:rPr>
                <w:rFonts w:asciiTheme="minorHAnsi" w:eastAsiaTheme="minorHAnsi" w:hAnsiTheme="minorHAnsi" w:cstheme="minorHAnsi"/>
                <w:lang w:val="en-GB"/>
              </w:rPr>
            </w:pPr>
          </w:p>
          <w:p w14:paraId="4BA16B91" w14:textId="7656C0C1" w:rsidR="00362351" w:rsidRPr="005E42CC" w:rsidRDefault="00362351" w:rsidP="0030544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 xml:space="preserve">Moreover, due to sensitivity of FSS receivers resulting in large separation distances, a regulatory framework is required to protect Earth stations in areas close to borders from potential interference arising from Mobile deployment in neighbouring countries. </w:t>
            </w:r>
          </w:p>
          <w:p w14:paraId="2E638E14" w14:textId="77777777" w:rsidR="00956D26" w:rsidRPr="005E42CC" w:rsidRDefault="00956D26" w:rsidP="00305446">
            <w:pPr>
              <w:spacing w:after="0" w:line="240" w:lineRule="auto"/>
              <w:jc w:val="both"/>
              <w:rPr>
                <w:rFonts w:asciiTheme="minorHAnsi" w:eastAsiaTheme="minorHAnsi" w:hAnsiTheme="minorHAnsi" w:cstheme="minorHAnsi"/>
                <w:lang w:val="en-GB"/>
              </w:rPr>
            </w:pPr>
          </w:p>
          <w:p w14:paraId="07DC9030" w14:textId="11D84EFA" w:rsidR="00CB2752" w:rsidRPr="005E42CC" w:rsidRDefault="00FC5196" w:rsidP="00FC5196">
            <w:pPr>
              <w:spacing w:after="0" w:line="240" w:lineRule="auto"/>
              <w:jc w:val="both"/>
              <w:rPr>
                <w:rFonts w:asciiTheme="minorHAnsi" w:eastAsiaTheme="minorHAnsi" w:hAnsiTheme="minorHAnsi" w:cstheme="minorHAnsi"/>
                <w:lang w:val="en-GB"/>
              </w:rPr>
            </w:pPr>
            <w:r w:rsidRPr="005E42CC">
              <w:rPr>
                <w:rFonts w:asciiTheme="minorHAnsi" w:eastAsiaTheme="minorHAnsi" w:hAnsiTheme="minorHAnsi" w:cstheme="minorHAnsi"/>
                <w:lang w:val="en-GB"/>
              </w:rPr>
              <w:t>Additional</w:t>
            </w:r>
            <w:r w:rsidR="00362351" w:rsidRPr="005E42CC">
              <w:rPr>
                <w:rFonts w:asciiTheme="minorHAnsi" w:eastAsiaTheme="minorHAnsi" w:hAnsiTheme="minorHAnsi" w:cstheme="minorHAnsi"/>
                <w:lang w:val="en-GB"/>
              </w:rPr>
              <w:t xml:space="preserve"> studies will need to be conducted to determine the impact of the Mobile out-of-band emissions to the FSS operations above 3 800 MHz</w:t>
            </w:r>
            <w:r w:rsidRPr="005E42CC">
              <w:rPr>
                <w:rFonts w:asciiTheme="minorHAnsi" w:eastAsiaTheme="minorHAnsi" w:hAnsiTheme="minorHAnsi" w:cstheme="minorHAnsi"/>
                <w:lang w:val="en-GB"/>
              </w:rPr>
              <w:t>, and in case of</w:t>
            </w:r>
            <w:r w:rsidR="00362351" w:rsidRPr="005E42CC">
              <w:rPr>
                <w:rFonts w:asciiTheme="minorHAnsi" w:eastAsiaTheme="minorHAnsi" w:hAnsiTheme="minorHAnsi" w:cstheme="minorHAnsi"/>
                <w:lang w:val="en-GB"/>
              </w:rPr>
              <w:t xml:space="preserve"> FSS earth stations </w:t>
            </w:r>
            <w:r w:rsidRPr="005E42CC">
              <w:rPr>
                <w:rFonts w:asciiTheme="minorHAnsi" w:eastAsiaTheme="minorHAnsi" w:hAnsiTheme="minorHAnsi" w:cstheme="minorHAnsi"/>
                <w:lang w:val="en-GB"/>
              </w:rPr>
              <w:t xml:space="preserve">that </w:t>
            </w:r>
            <w:r w:rsidR="00362351" w:rsidRPr="005E42CC">
              <w:rPr>
                <w:rFonts w:asciiTheme="minorHAnsi" w:eastAsiaTheme="minorHAnsi" w:hAnsiTheme="minorHAnsi" w:cstheme="minorHAnsi"/>
                <w:lang w:val="en-GB"/>
              </w:rPr>
              <w:t xml:space="preserve">are deployed in a typical ubiquitous manner or with no individual licensing. </w:t>
            </w:r>
          </w:p>
          <w:p w14:paraId="2B16D6E1" w14:textId="38D96AA2" w:rsidR="00FC5196" w:rsidRPr="005E42CC" w:rsidRDefault="00FC5196" w:rsidP="00FC5196">
            <w:pPr>
              <w:spacing w:after="0" w:line="240" w:lineRule="auto"/>
              <w:jc w:val="both"/>
              <w:rPr>
                <w:rFonts w:asciiTheme="minorHAnsi" w:hAnsiTheme="minorHAnsi" w:cstheme="minorHAnsi"/>
                <w:lang w:val="en-GB"/>
              </w:rPr>
            </w:pPr>
          </w:p>
        </w:tc>
      </w:tr>
      <w:tr w:rsidR="009C4395" w:rsidRPr="005E42CC" w14:paraId="62BA89DB" w14:textId="77777777" w:rsidTr="00CB2752">
        <w:tc>
          <w:tcPr>
            <w:tcW w:w="9903" w:type="dxa"/>
          </w:tcPr>
          <w:p w14:paraId="3A978AF4" w14:textId="77777777" w:rsidR="009C4395" w:rsidRPr="005E42CC" w:rsidRDefault="00C21D8D" w:rsidP="00362351">
            <w:pPr>
              <w:spacing w:after="0" w:line="240" w:lineRule="auto"/>
              <w:rPr>
                <w:rFonts w:cs="Calibri"/>
                <w:b/>
                <w:color w:val="00B050"/>
                <w:spacing w:val="60"/>
                <w:sz w:val="20"/>
                <w:szCs w:val="20"/>
              </w:rPr>
            </w:pPr>
            <w:r w:rsidRPr="005E42CC">
              <w:rPr>
                <w:rFonts w:cs="Calibri"/>
                <w:b/>
                <w:color w:val="00B050"/>
                <w:spacing w:val="60"/>
                <w:sz w:val="20"/>
                <w:szCs w:val="20"/>
              </w:rPr>
              <w:t>Part E</w:t>
            </w:r>
            <w:r w:rsidR="00A853DF" w:rsidRPr="005E42CC">
              <w:rPr>
                <w:rFonts w:cs="Calibri"/>
                <w:b/>
                <w:color w:val="00B050"/>
                <w:spacing w:val="60"/>
                <w:sz w:val="20"/>
                <w:szCs w:val="20"/>
              </w:rPr>
              <w:t xml:space="preserve">: </w:t>
            </w:r>
            <w:r w:rsidR="009C4395" w:rsidRPr="005E42CC">
              <w:rPr>
                <w:rFonts w:cs="Calibri"/>
                <w:b/>
                <w:color w:val="00B050"/>
                <w:spacing w:val="60"/>
                <w:sz w:val="20"/>
                <w:szCs w:val="20"/>
              </w:rPr>
              <w:t>Options and Associated Implications</w:t>
            </w:r>
          </w:p>
        </w:tc>
      </w:tr>
      <w:tr w:rsidR="00CB2752" w:rsidRPr="005E42CC" w14:paraId="5128ACC4" w14:textId="77777777" w:rsidTr="00CB2752">
        <w:trPr>
          <w:trHeight w:val="866"/>
        </w:trPr>
        <w:tc>
          <w:tcPr>
            <w:tcW w:w="9903" w:type="dxa"/>
          </w:tcPr>
          <w:p w14:paraId="6D60D9AA" w14:textId="77777777" w:rsidR="00956D26" w:rsidRPr="005E42CC" w:rsidRDefault="00956D26" w:rsidP="00362351">
            <w:pPr>
              <w:spacing w:after="0" w:line="240" w:lineRule="auto"/>
              <w:jc w:val="both"/>
              <w:rPr>
                <w:rFonts w:eastAsia="Times New Roman" w:cs="Calibri"/>
                <w:b/>
                <w:bCs/>
                <w:u w:val="single"/>
                <w:lang w:val="en-GB"/>
              </w:rPr>
            </w:pPr>
          </w:p>
          <w:p w14:paraId="4337DD11" w14:textId="7D445177" w:rsidR="00CB2752" w:rsidRPr="005E42CC" w:rsidRDefault="003B263A" w:rsidP="003B263A">
            <w:pPr>
              <w:spacing w:after="0" w:line="240" w:lineRule="auto"/>
              <w:jc w:val="both"/>
              <w:rPr>
                <w:rFonts w:cs="Calibri"/>
                <w:sz w:val="20"/>
                <w:szCs w:val="20"/>
              </w:rPr>
            </w:pPr>
            <w:r w:rsidRPr="005E42CC">
              <w:rPr>
                <w:rFonts w:eastAsia="Times New Roman" w:cs="Calibri"/>
                <w:lang w:val="en-GB"/>
              </w:rPr>
              <w:t>To be determined</w:t>
            </w:r>
          </w:p>
        </w:tc>
      </w:tr>
      <w:tr w:rsidR="00CB2752" w:rsidRPr="005E42CC" w14:paraId="53B7824B" w14:textId="77777777" w:rsidTr="00CB2752">
        <w:trPr>
          <w:trHeight w:val="60"/>
        </w:trPr>
        <w:tc>
          <w:tcPr>
            <w:tcW w:w="9903" w:type="dxa"/>
          </w:tcPr>
          <w:p w14:paraId="2078C202" w14:textId="77777777" w:rsidR="00CB2752" w:rsidRPr="005E42CC" w:rsidRDefault="00CB2752" w:rsidP="00362351">
            <w:pPr>
              <w:spacing w:after="0" w:line="240" w:lineRule="auto"/>
              <w:rPr>
                <w:rFonts w:cs="Calibri"/>
                <w:b/>
                <w:color w:val="00B050"/>
                <w:spacing w:val="60"/>
                <w:sz w:val="20"/>
                <w:szCs w:val="20"/>
              </w:rPr>
            </w:pPr>
            <w:r w:rsidRPr="005E42CC">
              <w:rPr>
                <w:rFonts w:cs="Calibri"/>
                <w:b/>
                <w:color w:val="00B050"/>
                <w:spacing w:val="60"/>
                <w:sz w:val="20"/>
                <w:szCs w:val="20"/>
              </w:rPr>
              <w:t>Part F: Proposed African Common View and/or Position</w:t>
            </w:r>
          </w:p>
        </w:tc>
      </w:tr>
      <w:tr w:rsidR="00CB2752" w:rsidRPr="005E42CC" w14:paraId="6F50335D" w14:textId="77777777" w:rsidTr="00CB2752">
        <w:trPr>
          <w:trHeight w:val="998"/>
        </w:trPr>
        <w:tc>
          <w:tcPr>
            <w:tcW w:w="9903" w:type="dxa"/>
          </w:tcPr>
          <w:p w14:paraId="4CD301A0" w14:textId="77777777" w:rsidR="00914B7A" w:rsidRPr="005E42CC" w:rsidRDefault="00914B7A" w:rsidP="00305446">
            <w:pPr>
              <w:spacing w:after="0" w:line="240" w:lineRule="auto"/>
              <w:jc w:val="both"/>
              <w:rPr>
                <w:rFonts w:cs="Calibri"/>
              </w:rPr>
            </w:pPr>
          </w:p>
          <w:p w14:paraId="71CA5A09" w14:textId="5D3E0877" w:rsidR="00362351" w:rsidRPr="005E42CC" w:rsidRDefault="00BB057E" w:rsidP="00305446">
            <w:pPr>
              <w:spacing w:after="0" w:line="240" w:lineRule="auto"/>
              <w:jc w:val="both"/>
              <w:rPr>
                <w:rFonts w:cs="Calibri"/>
              </w:rPr>
            </w:pPr>
            <w:r w:rsidRPr="005E42CC">
              <w:rPr>
                <w:rFonts w:eastAsia="Times New Roman" w:cs="Calibri"/>
                <w:lang w:val="en-GB"/>
              </w:rPr>
              <w:t>Additional</w:t>
            </w:r>
            <w:r w:rsidR="00362351" w:rsidRPr="005E42CC">
              <w:rPr>
                <w:rFonts w:eastAsia="Times New Roman" w:cs="Calibri"/>
                <w:lang w:val="en-GB"/>
              </w:rPr>
              <w:t xml:space="preserve"> studies are </w:t>
            </w:r>
            <w:r w:rsidR="00914B7A" w:rsidRPr="005E42CC">
              <w:rPr>
                <w:rFonts w:eastAsia="Times New Roman" w:cs="Calibri"/>
                <w:lang w:val="en-GB"/>
              </w:rPr>
              <w:t xml:space="preserve">required </w:t>
            </w:r>
            <w:r w:rsidR="003B263A" w:rsidRPr="005E42CC">
              <w:rPr>
                <w:rFonts w:cs="Calibri"/>
                <w:lang w:val="en-GB"/>
              </w:rPr>
              <w:t xml:space="preserve">to </w:t>
            </w:r>
            <w:r w:rsidR="005E42CC" w:rsidRPr="005E42CC">
              <w:rPr>
                <w:rFonts w:cs="Calibri"/>
                <w:lang w:val="en-GB"/>
              </w:rPr>
              <w:t>include</w:t>
            </w:r>
            <w:r w:rsidR="00CD2CB6" w:rsidRPr="005E42CC">
              <w:rPr>
                <w:rFonts w:cs="Calibri"/>
                <w:lang w:val="en-GB"/>
              </w:rPr>
              <w:t xml:space="preserve"> more administrations and to </w:t>
            </w:r>
            <w:r w:rsidR="003B263A" w:rsidRPr="005E42CC">
              <w:rPr>
                <w:rFonts w:cs="Calibri"/>
                <w:lang w:val="en-GB"/>
              </w:rPr>
              <w:t xml:space="preserve">assess </w:t>
            </w:r>
            <w:r w:rsidR="003B263A" w:rsidRPr="005E42CC">
              <w:rPr>
                <w:rFonts w:eastAsia="Times New Roman" w:cs="Calibri"/>
                <w:lang w:val="en-GB"/>
              </w:rPr>
              <w:t>aggregate and adjacent band interferences</w:t>
            </w:r>
          </w:p>
          <w:p w14:paraId="45CD4801" w14:textId="326824A8" w:rsidR="00362351" w:rsidRPr="005E42CC" w:rsidRDefault="00362351" w:rsidP="00362351">
            <w:pPr>
              <w:spacing w:after="0" w:line="240" w:lineRule="auto"/>
              <w:jc w:val="both"/>
              <w:rPr>
                <w:rFonts w:cs="Calibri"/>
              </w:rPr>
            </w:pPr>
          </w:p>
        </w:tc>
      </w:tr>
      <w:tr w:rsidR="00CB2752" w:rsidRPr="005E42CC" w14:paraId="1B3A237D" w14:textId="77777777" w:rsidTr="00CB2752">
        <w:trPr>
          <w:trHeight w:val="60"/>
        </w:trPr>
        <w:tc>
          <w:tcPr>
            <w:tcW w:w="9903" w:type="dxa"/>
          </w:tcPr>
          <w:p w14:paraId="72CF714A" w14:textId="77777777" w:rsidR="00CB2752" w:rsidRPr="005E42CC" w:rsidRDefault="00CB2752" w:rsidP="00362351">
            <w:pPr>
              <w:spacing w:after="0" w:line="240" w:lineRule="auto"/>
              <w:rPr>
                <w:rFonts w:cs="Calibri"/>
                <w:color w:val="00B050"/>
                <w:sz w:val="20"/>
                <w:szCs w:val="20"/>
              </w:rPr>
            </w:pPr>
            <w:r w:rsidRPr="005E42CC">
              <w:rPr>
                <w:rFonts w:cs="Calibri"/>
                <w:b/>
                <w:color w:val="00B050"/>
                <w:spacing w:val="60"/>
                <w:sz w:val="20"/>
                <w:szCs w:val="20"/>
              </w:rPr>
              <w:t>Part G: Recommendations and Way Forward</w:t>
            </w:r>
          </w:p>
        </w:tc>
      </w:tr>
      <w:tr w:rsidR="00CB2752" w:rsidRPr="005E42CC" w14:paraId="2512457E" w14:textId="77777777" w:rsidTr="00CB2752">
        <w:trPr>
          <w:trHeight w:val="1028"/>
        </w:trPr>
        <w:tc>
          <w:tcPr>
            <w:tcW w:w="9903" w:type="dxa"/>
          </w:tcPr>
          <w:p w14:paraId="6459CA9C" w14:textId="77777777" w:rsidR="003B263A" w:rsidRPr="005E42CC" w:rsidRDefault="003B263A" w:rsidP="003B263A">
            <w:pPr>
              <w:spacing w:after="0" w:line="240" w:lineRule="auto"/>
              <w:jc w:val="both"/>
              <w:rPr>
                <w:rFonts w:cs="Calibri"/>
                <w:sz w:val="20"/>
                <w:szCs w:val="20"/>
              </w:rPr>
            </w:pPr>
          </w:p>
          <w:p w14:paraId="0639A6EF" w14:textId="7C6C5204" w:rsidR="00F42EAF" w:rsidRPr="005E42CC" w:rsidRDefault="00F42EAF" w:rsidP="00F42EAF">
            <w:pPr>
              <w:spacing w:after="0" w:line="240" w:lineRule="auto"/>
              <w:jc w:val="both"/>
              <w:rPr>
                <w:rFonts w:eastAsia="Times New Roman" w:cs="Calibri"/>
                <w:lang w:val="en-GB"/>
              </w:rPr>
            </w:pPr>
            <w:r w:rsidRPr="005E42CC">
              <w:rPr>
                <w:rFonts w:eastAsia="Times New Roman" w:cs="Calibri"/>
                <w:lang w:val="en-GB"/>
              </w:rPr>
              <w:t xml:space="preserve">Administrations are encouraged to participate in the ongoing studies with the intent of positively influencing the outcome of the studies and contribute to the studies of WG5A as much as possible.  </w:t>
            </w:r>
          </w:p>
          <w:p w14:paraId="140E5E05" w14:textId="77777777" w:rsidR="00F42EAF" w:rsidRPr="005E42CC" w:rsidRDefault="00F42EAF" w:rsidP="003B263A">
            <w:pPr>
              <w:spacing w:after="0" w:line="240" w:lineRule="auto"/>
              <w:jc w:val="both"/>
              <w:rPr>
                <w:rFonts w:eastAsia="Times New Roman" w:cs="Calibri"/>
                <w:lang w:val="en-GB"/>
              </w:rPr>
            </w:pPr>
          </w:p>
          <w:p w14:paraId="1EC954C4" w14:textId="732DFA1D" w:rsidR="003B263A" w:rsidRPr="005E42CC" w:rsidRDefault="003B263A" w:rsidP="003B263A">
            <w:pPr>
              <w:spacing w:after="0" w:line="240" w:lineRule="auto"/>
              <w:jc w:val="both"/>
              <w:rPr>
                <w:rFonts w:eastAsia="Times New Roman" w:cs="Calibri"/>
                <w:lang w:val="en-GB"/>
              </w:rPr>
            </w:pPr>
            <w:r w:rsidRPr="005E42CC">
              <w:rPr>
                <w:rFonts w:eastAsia="Times New Roman" w:cs="Calibri"/>
                <w:lang w:val="en-GB"/>
              </w:rPr>
              <w:t>Additional studies to address the following:</w:t>
            </w:r>
          </w:p>
          <w:p w14:paraId="29A1BE7F" w14:textId="665ADEF8" w:rsidR="00362351" w:rsidRPr="005E42CC" w:rsidRDefault="00362351" w:rsidP="003B263A">
            <w:pPr>
              <w:pStyle w:val="ListParagraph"/>
              <w:numPr>
                <w:ilvl w:val="0"/>
                <w:numId w:val="6"/>
              </w:numPr>
              <w:spacing w:after="0" w:line="240" w:lineRule="auto"/>
              <w:jc w:val="both"/>
              <w:rPr>
                <w:rFonts w:eastAsia="Times New Roman" w:cs="Calibri"/>
                <w:lang w:val="en-GB"/>
              </w:rPr>
            </w:pPr>
            <w:r w:rsidRPr="005E42CC">
              <w:rPr>
                <w:rFonts w:eastAsia="Times New Roman" w:cs="Calibri"/>
                <w:lang w:val="en-GB"/>
              </w:rPr>
              <w:t>Short-term interference from MS into FSS ES, with short-term criterion of the FSS;</w:t>
            </w:r>
          </w:p>
          <w:p w14:paraId="3D15E2A8" w14:textId="77777777" w:rsidR="00362351" w:rsidRPr="005E42CC" w:rsidRDefault="00362351" w:rsidP="003B263A">
            <w:pPr>
              <w:pStyle w:val="ListParagraph"/>
              <w:numPr>
                <w:ilvl w:val="0"/>
                <w:numId w:val="6"/>
              </w:numPr>
              <w:spacing w:before="60" w:after="60" w:line="240" w:lineRule="auto"/>
              <w:jc w:val="both"/>
              <w:rPr>
                <w:rFonts w:eastAsia="Times New Roman" w:cs="Calibri"/>
                <w:lang w:val="en-GB"/>
              </w:rPr>
            </w:pPr>
            <w:r w:rsidRPr="005E42CC">
              <w:rPr>
                <w:rFonts w:eastAsia="Times New Roman" w:cs="Calibri"/>
                <w:lang w:val="en-GB"/>
              </w:rPr>
              <w:t xml:space="preserve">Aggregate interference from a full MS deployment; </w:t>
            </w:r>
          </w:p>
          <w:p w14:paraId="0BA51CAE" w14:textId="77777777" w:rsidR="00362351" w:rsidRPr="005E42CC" w:rsidRDefault="00362351" w:rsidP="002D603F">
            <w:pPr>
              <w:numPr>
                <w:ilvl w:val="0"/>
                <w:numId w:val="5"/>
              </w:numPr>
              <w:spacing w:before="60" w:after="60" w:line="240" w:lineRule="auto"/>
              <w:jc w:val="both"/>
              <w:rPr>
                <w:rFonts w:eastAsia="Times New Roman" w:cs="Calibri"/>
                <w:lang w:val="en-GB"/>
              </w:rPr>
            </w:pPr>
            <w:r w:rsidRPr="005E42CC">
              <w:rPr>
                <w:rFonts w:eastAsia="Times New Roman" w:cs="Calibri"/>
                <w:lang w:val="en-GB"/>
              </w:rPr>
              <w:t xml:space="preserve">Separation distances required to protect FSS earth stations operating in known locations in frequency band above 3 800 MHz; </w:t>
            </w:r>
          </w:p>
          <w:p w14:paraId="5849E3ED" w14:textId="25D1A051" w:rsidR="00362351" w:rsidRPr="005E42CC" w:rsidRDefault="00362351" w:rsidP="002D603F">
            <w:pPr>
              <w:numPr>
                <w:ilvl w:val="0"/>
                <w:numId w:val="5"/>
              </w:numPr>
              <w:spacing w:before="60" w:after="60" w:line="240" w:lineRule="auto"/>
              <w:jc w:val="both"/>
              <w:rPr>
                <w:rFonts w:eastAsia="Times New Roman" w:cs="Calibri"/>
                <w:lang w:val="en-GB"/>
              </w:rPr>
            </w:pPr>
            <w:r w:rsidRPr="005E42CC">
              <w:rPr>
                <w:rFonts w:eastAsia="Times New Roman" w:cs="Calibri"/>
                <w:lang w:val="en-GB"/>
              </w:rPr>
              <w:t>Out-of-band emission limits or frequency separation required to protect FSS earth stations deployed in a typical ubiquitous manner or with no individual licensing</w:t>
            </w:r>
            <w:r w:rsidR="00914B7A" w:rsidRPr="005E42CC">
              <w:rPr>
                <w:rFonts w:eastAsia="Times New Roman" w:cs="Calibri"/>
                <w:lang w:val="en-GB"/>
              </w:rPr>
              <w:t>.</w:t>
            </w:r>
            <w:r w:rsidRPr="005E42CC">
              <w:rPr>
                <w:rFonts w:eastAsia="Times New Roman" w:cs="Calibri"/>
                <w:lang w:val="en-GB"/>
              </w:rPr>
              <w:t xml:space="preserve"> </w:t>
            </w:r>
          </w:p>
          <w:p w14:paraId="24A59FBB" w14:textId="77777777" w:rsidR="00362351" w:rsidRPr="005E42CC" w:rsidRDefault="00362351" w:rsidP="00362351">
            <w:pPr>
              <w:spacing w:after="0" w:line="240" w:lineRule="auto"/>
              <w:jc w:val="both"/>
              <w:rPr>
                <w:rFonts w:cs="Calibri"/>
                <w:sz w:val="20"/>
                <w:szCs w:val="20"/>
              </w:rPr>
            </w:pPr>
          </w:p>
          <w:p w14:paraId="2B5633E9" w14:textId="6194CDBC" w:rsidR="00362351" w:rsidRPr="005E42CC" w:rsidRDefault="00362351" w:rsidP="00362351">
            <w:pPr>
              <w:spacing w:after="0" w:line="240" w:lineRule="auto"/>
              <w:jc w:val="both"/>
              <w:rPr>
                <w:rFonts w:cs="Calibri"/>
                <w:sz w:val="20"/>
                <w:szCs w:val="20"/>
              </w:rPr>
            </w:pPr>
          </w:p>
        </w:tc>
      </w:tr>
    </w:tbl>
    <w:p w14:paraId="01C94CC8" w14:textId="77777777" w:rsidR="0088546D" w:rsidRPr="005E42CC" w:rsidRDefault="0088546D" w:rsidP="00362351">
      <w:pPr>
        <w:spacing w:line="240" w:lineRule="auto"/>
        <w:rPr>
          <w:rFonts w:cs="Calibri"/>
        </w:rPr>
      </w:pPr>
    </w:p>
    <w:sectPr w:rsidR="0088546D" w:rsidRPr="005E42CC" w:rsidSect="00C21BE8">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3A8D8" w14:textId="77777777" w:rsidR="00304D42" w:rsidRDefault="00304D42" w:rsidP="005829FE">
      <w:pPr>
        <w:spacing w:after="0" w:line="240" w:lineRule="auto"/>
      </w:pPr>
      <w:r>
        <w:separator/>
      </w:r>
    </w:p>
  </w:endnote>
  <w:endnote w:type="continuationSeparator" w:id="0">
    <w:p w14:paraId="45CB06B9" w14:textId="77777777" w:rsidR="00304D42" w:rsidRDefault="00304D42" w:rsidP="0058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Gadugi">
    <w:altName w:val="Athelas Bold Italic"/>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9CB5" w14:textId="77777777" w:rsidR="00F42EAF" w:rsidRDefault="00F4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16C5" w14:textId="77777777" w:rsidR="00F42EAF" w:rsidRDefault="00F42EAF">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4099B">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4099B">
      <w:rPr>
        <w:b/>
        <w:noProof/>
      </w:rPr>
      <w:t>8</w:t>
    </w:r>
    <w:r>
      <w:rPr>
        <w:b/>
        <w:sz w:val="24"/>
        <w:szCs w:val="24"/>
      </w:rPr>
      <w:fldChar w:fldCharType="end"/>
    </w:r>
  </w:p>
  <w:p w14:paraId="509E4128" w14:textId="77777777" w:rsidR="00F42EAF" w:rsidRDefault="00F42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3E7F" w14:textId="77777777" w:rsidR="00F42EAF" w:rsidRDefault="00F4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5FF6" w14:textId="77777777" w:rsidR="00304D42" w:rsidRDefault="00304D42" w:rsidP="005829FE">
      <w:pPr>
        <w:spacing w:after="0" w:line="240" w:lineRule="auto"/>
      </w:pPr>
      <w:r>
        <w:separator/>
      </w:r>
    </w:p>
  </w:footnote>
  <w:footnote w:type="continuationSeparator" w:id="0">
    <w:p w14:paraId="52BEE675" w14:textId="77777777" w:rsidR="00304D42" w:rsidRDefault="00304D42" w:rsidP="005829FE">
      <w:pPr>
        <w:spacing w:after="0" w:line="240" w:lineRule="auto"/>
      </w:pPr>
      <w:r>
        <w:continuationSeparator/>
      </w:r>
    </w:p>
  </w:footnote>
  <w:footnote w:id="1">
    <w:p w14:paraId="56CC86CE" w14:textId="77777777" w:rsidR="00F42EAF" w:rsidRDefault="00F42EAF" w:rsidP="00955924">
      <w:pPr>
        <w:pStyle w:val="FootnoteText"/>
      </w:pPr>
      <w:r>
        <w:rPr>
          <w:rStyle w:val="FootnoteReference"/>
        </w:rPr>
        <w:footnoteRef/>
      </w:r>
      <w:r>
        <w:t xml:space="preserve"> </w:t>
      </w:r>
      <w:r w:rsidRPr="00E0613E">
        <w:t xml:space="preserve">The MS characteristics are developed in ITU-R WP 5A. The most recent MS characteristics are reflected in Annex 18 to WP 5A Chairman’s Report from the meeting held 28 April-11 May 2021 available at: </w:t>
      </w:r>
      <w:hyperlink r:id="rId1" w:history="1">
        <w:r w:rsidRPr="00321661">
          <w:rPr>
            <w:rStyle w:val="Hyperlink"/>
          </w:rPr>
          <w:t>https://www.itu.int/dms_pub/itu-r/md/19/wp5a/c/R19-WP5A-C-0359!N18!MSW-E.docx</w:t>
        </w:r>
      </w:hyperlink>
      <w:r>
        <w:t xml:space="preserve"> </w:t>
      </w:r>
    </w:p>
  </w:footnote>
  <w:footnote w:id="2">
    <w:p w14:paraId="3D34429A" w14:textId="77777777" w:rsidR="00F42EAF" w:rsidRDefault="00F42EAF" w:rsidP="00955924">
      <w:pPr>
        <w:pStyle w:val="FootnoteText"/>
      </w:pPr>
      <w:r>
        <w:rPr>
          <w:rStyle w:val="FootnoteReference"/>
        </w:rPr>
        <w:footnoteRef/>
      </w:r>
      <w:r>
        <w:t xml:space="preserve"> </w:t>
      </w:r>
      <w:r w:rsidRPr="00AC371A">
        <w:t xml:space="preserve">Document 5A/589 Annex 18, available at </w:t>
      </w:r>
      <w:hyperlink r:id="rId2" w:history="1">
        <w:r w:rsidRPr="00321661">
          <w:rPr>
            <w:rStyle w:val="Hyperlink"/>
          </w:rPr>
          <w:t>https://www.itu.int/dms_pub/itu-r/md/19/wp5a/c/R19-WP5A-C-0359!N18!MSW-E.docx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2CF" w14:textId="77777777" w:rsidR="00F42EAF" w:rsidRDefault="00F42E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CE10" w14:textId="77777777" w:rsidR="00F42EAF" w:rsidRDefault="00F42E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BAC0" w14:textId="77777777" w:rsidR="00F42EAF" w:rsidRDefault="00F42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86A"/>
    <w:multiLevelType w:val="hybridMultilevel"/>
    <w:tmpl w:val="B270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E6598"/>
    <w:multiLevelType w:val="hybridMultilevel"/>
    <w:tmpl w:val="926CE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5E068C0"/>
    <w:multiLevelType w:val="hybridMultilevel"/>
    <w:tmpl w:val="C1F8F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DB360D5"/>
    <w:multiLevelType w:val="hybridMultilevel"/>
    <w:tmpl w:val="225C9504"/>
    <w:lvl w:ilvl="0" w:tplc="04090009">
      <w:start w:val="1"/>
      <w:numFmt w:val="bullet"/>
      <w:lvlText w:val=""/>
      <w:lvlJc w:val="left"/>
      <w:pPr>
        <w:tabs>
          <w:tab w:val="num" w:pos="720"/>
        </w:tabs>
        <w:ind w:left="720" w:hanging="360"/>
      </w:pPr>
      <w:rPr>
        <w:rFonts w:ascii="Wingdings" w:hAnsi="Wingdings" w:hint="default"/>
      </w:rPr>
    </w:lvl>
    <w:lvl w:ilvl="1" w:tplc="7BA6166C" w:tentative="1">
      <w:start w:val="1"/>
      <w:numFmt w:val="bullet"/>
      <w:lvlText w:val="•"/>
      <w:lvlJc w:val="left"/>
      <w:pPr>
        <w:tabs>
          <w:tab w:val="num" w:pos="1440"/>
        </w:tabs>
        <w:ind w:left="1440" w:hanging="360"/>
      </w:pPr>
      <w:rPr>
        <w:rFonts w:ascii="Arial" w:hAnsi="Arial" w:hint="default"/>
      </w:rPr>
    </w:lvl>
    <w:lvl w:ilvl="2" w:tplc="A4861E12" w:tentative="1">
      <w:start w:val="1"/>
      <w:numFmt w:val="bullet"/>
      <w:lvlText w:val="•"/>
      <w:lvlJc w:val="left"/>
      <w:pPr>
        <w:tabs>
          <w:tab w:val="num" w:pos="2160"/>
        </w:tabs>
        <w:ind w:left="2160" w:hanging="360"/>
      </w:pPr>
      <w:rPr>
        <w:rFonts w:ascii="Arial" w:hAnsi="Arial" w:hint="default"/>
      </w:rPr>
    </w:lvl>
    <w:lvl w:ilvl="3" w:tplc="EA30EC56" w:tentative="1">
      <w:start w:val="1"/>
      <w:numFmt w:val="bullet"/>
      <w:lvlText w:val="•"/>
      <w:lvlJc w:val="left"/>
      <w:pPr>
        <w:tabs>
          <w:tab w:val="num" w:pos="2880"/>
        </w:tabs>
        <w:ind w:left="2880" w:hanging="360"/>
      </w:pPr>
      <w:rPr>
        <w:rFonts w:ascii="Arial" w:hAnsi="Arial" w:hint="default"/>
      </w:rPr>
    </w:lvl>
    <w:lvl w:ilvl="4" w:tplc="43821D26" w:tentative="1">
      <w:start w:val="1"/>
      <w:numFmt w:val="bullet"/>
      <w:lvlText w:val="•"/>
      <w:lvlJc w:val="left"/>
      <w:pPr>
        <w:tabs>
          <w:tab w:val="num" w:pos="3600"/>
        </w:tabs>
        <w:ind w:left="3600" w:hanging="360"/>
      </w:pPr>
      <w:rPr>
        <w:rFonts w:ascii="Arial" w:hAnsi="Arial" w:hint="default"/>
      </w:rPr>
    </w:lvl>
    <w:lvl w:ilvl="5" w:tplc="7B3E9766" w:tentative="1">
      <w:start w:val="1"/>
      <w:numFmt w:val="bullet"/>
      <w:lvlText w:val="•"/>
      <w:lvlJc w:val="left"/>
      <w:pPr>
        <w:tabs>
          <w:tab w:val="num" w:pos="4320"/>
        </w:tabs>
        <w:ind w:left="4320" w:hanging="360"/>
      </w:pPr>
      <w:rPr>
        <w:rFonts w:ascii="Arial" w:hAnsi="Arial" w:hint="default"/>
      </w:rPr>
    </w:lvl>
    <w:lvl w:ilvl="6" w:tplc="B344A476" w:tentative="1">
      <w:start w:val="1"/>
      <w:numFmt w:val="bullet"/>
      <w:lvlText w:val="•"/>
      <w:lvlJc w:val="left"/>
      <w:pPr>
        <w:tabs>
          <w:tab w:val="num" w:pos="5040"/>
        </w:tabs>
        <w:ind w:left="5040" w:hanging="360"/>
      </w:pPr>
      <w:rPr>
        <w:rFonts w:ascii="Arial" w:hAnsi="Arial" w:hint="default"/>
      </w:rPr>
    </w:lvl>
    <w:lvl w:ilvl="7" w:tplc="B6C66C24" w:tentative="1">
      <w:start w:val="1"/>
      <w:numFmt w:val="bullet"/>
      <w:lvlText w:val="•"/>
      <w:lvlJc w:val="left"/>
      <w:pPr>
        <w:tabs>
          <w:tab w:val="num" w:pos="5760"/>
        </w:tabs>
        <w:ind w:left="5760" w:hanging="360"/>
      </w:pPr>
      <w:rPr>
        <w:rFonts w:ascii="Arial" w:hAnsi="Arial" w:hint="default"/>
      </w:rPr>
    </w:lvl>
    <w:lvl w:ilvl="8" w:tplc="0D6AD6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B8174C4"/>
    <w:multiLevelType w:val="hybridMultilevel"/>
    <w:tmpl w:val="9342CF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FA96493"/>
    <w:multiLevelType w:val="hybridMultilevel"/>
    <w:tmpl w:val="E926D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I0NzE2MjM3NDI3MDVU0lEKTi0uzszPAykwrAUAGInn5iwAAAA="/>
  </w:docVars>
  <w:rsids>
    <w:rsidRoot w:val="00E32C0C"/>
    <w:rsid w:val="000008B4"/>
    <w:rsid w:val="0000257A"/>
    <w:rsid w:val="00011CAA"/>
    <w:rsid w:val="0001643E"/>
    <w:rsid w:val="000172BC"/>
    <w:rsid w:val="00020198"/>
    <w:rsid w:val="0002185E"/>
    <w:rsid w:val="00022622"/>
    <w:rsid w:val="00022664"/>
    <w:rsid w:val="0003096F"/>
    <w:rsid w:val="000340C8"/>
    <w:rsid w:val="0003620E"/>
    <w:rsid w:val="00037DAD"/>
    <w:rsid w:val="000429EF"/>
    <w:rsid w:val="00043D57"/>
    <w:rsid w:val="0004754A"/>
    <w:rsid w:val="00047FC1"/>
    <w:rsid w:val="00050EE6"/>
    <w:rsid w:val="0005296C"/>
    <w:rsid w:val="00052A49"/>
    <w:rsid w:val="00053551"/>
    <w:rsid w:val="00055808"/>
    <w:rsid w:val="00056A73"/>
    <w:rsid w:val="0005735B"/>
    <w:rsid w:val="00063458"/>
    <w:rsid w:val="000667FF"/>
    <w:rsid w:val="00070EEB"/>
    <w:rsid w:val="0007392E"/>
    <w:rsid w:val="00076899"/>
    <w:rsid w:val="00080FDB"/>
    <w:rsid w:val="00086B7B"/>
    <w:rsid w:val="00092863"/>
    <w:rsid w:val="000933F4"/>
    <w:rsid w:val="00093B36"/>
    <w:rsid w:val="00094783"/>
    <w:rsid w:val="000957F3"/>
    <w:rsid w:val="000A1542"/>
    <w:rsid w:val="000A41C2"/>
    <w:rsid w:val="000A5770"/>
    <w:rsid w:val="000B222E"/>
    <w:rsid w:val="000B5435"/>
    <w:rsid w:val="000B5E6A"/>
    <w:rsid w:val="000C3533"/>
    <w:rsid w:val="000C4D21"/>
    <w:rsid w:val="000C689E"/>
    <w:rsid w:val="000C6FD4"/>
    <w:rsid w:val="000C7D7D"/>
    <w:rsid w:val="000D3EE6"/>
    <w:rsid w:val="000F008D"/>
    <w:rsid w:val="000F087F"/>
    <w:rsid w:val="000F0E8F"/>
    <w:rsid w:val="000F0FD0"/>
    <w:rsid w:val="000F14B7"/>
    <w:rsid w:val="000F271B"/>
    <w:rsid w:val="000F7517"/>
    <w:rsid w:val="000F76FB"/>
    <w:rsid w:val="000F7C3B"/>
    <w:rsid w:val="00103961"/>
    <w:rsid w:val="00104F32"/>
    <w:rsid w:val="001101D3"/>
    <w:rsid w:val="001210B7"/>
    <w:rsid w:val="00123BEB"/>
    <w:rsid w:val="00125DC3"/>
    <w:rsid w:val="00125F0C"/>
    <w:rsid w:val="00131973"/>
    <w:rsid w:val="00133B13"/>
    <w:rsid w:val="00135662"/>
    <w:rsid w:val="00136159"/>
    <w:rsid w:val="00140166"/>
    <w:rsid w:val="001408E1"/>
    <w:rsid w:val="00141262"/>
    <w:rsid w:val="00141701"/>
    <w:rsid w:val="001469C5"/>
    <w:rsid w:val="00147550"/>
    <w:rsid w:val="00151512"/>
    <w:rsid w:val="0015151C"/>
    <w:rsid w:val="00152B83"/>
    <w:rsid w:val="0015685A"/>
    <w:rsid w:val="00156FFD"/>
    <w:rsid w:val="00161FFE"/>
    <w:rsid w:val="0016767C"/>
    <w:rsid w:val="00170623"/>
    <w:rsid w:val="00171ABA"/>
    <w:rsid w:val="00172C3F"/>
    <w:rsid w:val="00174216"/>
    <w:rsid w:val="001770E9"/>
    <w:rsid w:val="0018062C"/>
    <w:rsid w:val="001843F5"/>
    <w:rsid w:val="00184FC0"/>
    <w:rsid w:val="0018594B"/>
    <w:rsid w:val="00185A80"/>
    <w:rsid w:val="00185BB1"/>
    <w:rsid w:val="0018662D"/>
    <w:rsid w:val="001913B2"/>
    <w:rsid w:val="00191D65"/>
    <w:rsid w:val="00192E1C"/>
    <w:rsid w:val="00194D73"/>
    <w:rsid w:val="00196AE1"/>
    <w:rsid w:val="001A3B1E"/>
    <w:rsid w:val="001A4FE2"/>
    <w:rsid w:val="001B28EE"/>
    <w:rsid w:val="001B3360"/>
    <w:rsid w:val="001B4838"/>
    <w:rsid w:val="001B651A"/>
    <w:rsid w:val="001C21AD"/>
    <w:rsid w:val="001C23A2"/>
    <w:rsid w:val="001C2ADD"/>
    <w:rsid w:val="001C7C3C"/>
    <w:rsid w:val="001C7F48"/>
    <w:rsid w:val="001E2DDE"/>
    <w:rsid w:val="001E2EBC"/>
    <w:rsid w:val="001E3AB0"/>
    <w:rsid w:val="001E5AC9"/>
    <w:rsid w:val="001F059B"/>
    <w:rsid w:val="001F5D9B"/>
    <w:rsid w:val="001F5FE6"/>
    <w:rsid w:val="00200B8F"/>
    <w:rsid w:val="002075CA"/>
    <w:rsid w:val="00214BCB"/>
    <w:rsid w:val="002172FC"/>
    <w:rsid w:val="002204F1"/>
    <w:rsid w:val="00226A89"/>
    <w:rsid w:val="00227B4B"/>
    <w:rsid w:val="002317B3"/>
    <w:rsid w:val="00234206"/>
    <w:rsid w:val="00234929"/>
    <w:rsid w:val="0023706D"/>
    <w:rsid w:val="00237DD1"/>
    <w:rsid w:val="002401FD"/>
    <w:rsid w:val="00240FC7"/>
    <w:rsid w:val="00241281"/>
    <w:rsid w:val="002429B1"/>
    <w:rsid w:val="00243E2E"/>
    <w:rsid w:val="00246271"/>
    <w:rsid w:val="00254362"/>
    <w:rsid w:val="00254C74"/>
    <w:rsid w:val="00255757"/>
    <w:rsid w:val="00255A30"/>
    <w:rsid w:val="00255DF5"/>
    <w:rsid w:val="0025772B"/>
    <w:rsid w:val="002578DF"/>
    <w:rsid w:val="00264B2E"/>
    <w:rsid w:val="00264F39"/>
    <w:rsid w:val="0026607F"/>
    <w:rsid w:val="002678CE"/>
    <w:rsid w:val="00270A48"/>
    <w:rsid w:val="002739C4"/>
    <w:rsid w:val="00273B33"/>
    <w:rsid w:val="00275D64"/>
    <w:rsid w:val="002845F0"/>
    <w:rsid w:val="00285609"/>
    <w:rsid w:val="002870B6"/>
    <w:rsid w:val="0029042C"/>
    <w:rsid w:val="00293E60"/>
    <w:rsid w:val="002A0B5D"/>
    <w:rsid w:val="002A0C27"/>
    <w:rsid w:val="002A1C74"/>
    <w:rsid w:val="002A2B97"/>
    <w:rsid w:val="002A37B3"/>
    <w:rsid w:val="002A4573"/>
    <w:rsid w:val="002A6A3C"/>
    <w:rsid w:val="002B2092"/>
    <w:rsid w:val="002B2F13"/>
    <w:rsid w:val="002B3492"/>
    <w:rsid w:val="002B4819"/>
    <w:rsid w:val="002B6222"/>
    <w:rsid w:val="002B630C"/>
    <w:rsid w:val="002C2891"/>
    <w:rsid w:val="002C35B6"/>
    <w:rsid w:val="002C3CA1"/>
    <w:rsid w:val="002D0981"/>
    <w:rsid w:val="002D219F"/>
    <w:rsid w:val="002D3095"/>
    <w:rsid w:val="002D603F"/>
    <w:rsid w:val="002E1835"/>
    <w:rsid w:val="002F0A02"/>
    <w:rsid w:val="002F16E1"/>
    <w:rsid w:val="002F26FC"/>
    <w:rsid w:val="002F685A"/>
    <w:rsid w:val="002F7C1C"/>
    <w:rsid w:val="002F7EB2"/>
    <w:rsid w:val="00304D42"/>
    <w:rsid w:val="00305446"/>
    <w:rsid w:val="003131D8"/>
    <w:rsid w:val="00316943"/>
    <w:rsid w:val="00316A69"/>
    <w:rsid w:val="00320EF1"/>
    <w:rsid w:val="00320FF8"/>
    <w:rsid w:val="003278F8"/>
    <w:rsid w:val="00332F26"/>
    <w:rsid w:val="00334726"/>
    <w:rsid w:val="0033685E"/>
    <w:rsid w:val="003418E7"/>
    <w:rsid w:val="00341ADE"/>
    <w:rsid w:val="00343FCC"/>
    <w:rsid w:val="00346ECE"/>
    <w:rsid w:val="00347049"/>
    <w:rsid w:val="00351D0A"/>
    <w:rsid w:val="00352784"/>
    <w:rsid w:val="003530DA"/>
    <w:rsid w:val="0035511D"/>
    <w:rsid w:val="0035648A"/>
    <w:rsid w:val="00360541"/>
    <w:rsid w:val="003612CA"/>
    <w:rsid w:val="00362351"/>
    <w:rsid w:val="0036662D"/>
    <w:rsid w:val="00367BE2"/>
    <w:rsid w:val="00370136"/>
    <w:rsid w:val="003728E7"/>
    <w:rsid w:val="003770CB"/>
    <w:rsid w:val="0038196E"/>
    <w:rsid w:val="00381F1D"/>
    <w:rsid w:val="003853D4"/>
    <w:rsid w:val="003862C9"/>
    <w:rsid w:val="00386831"/>
    <w:rsid w:val="00387E42"/>
    <w:rsid w:val="00390B79"/>
    <w:rsid w:val="003915F8"/>
    <w:rsid w:val="00391CF0"/>
    <w:rsid w:val="0039277C"/>
    <w:rsid w:val="00395A6E"/>
    <w:rsid w:val="00396C5F"/>
    <w:rsid w:val="003A195F"/>
    <w:rsid w:val="003A2D8D"/>
    <w:rsid w:val="003A3E45"/>
    <w:rsid w:val="003A6203"/>
    <w:rsid w:val="003B23B8"/>
    <w:rsid w:val="003B263A"/>
    <w:rsid w:val="003B26A2"/>
    <w:rsid w:val="003B31AB"/>
    <w:rsid w:val="003B394A"/>
    <w:rsid w:val="003B58DB"/>
    <w:rsid w:val="003B63DD"/>
    <w:rsid w:val="003B7A84"/>
    <w:rsid w:val="003C30B3"/>
    <w:rsid w:val="003C6CFE"/>
    <w:rsid w:val="003D17C6"/>
    <w:rsid w:val="003D3E5F"/>
    <w:rsid w:val="003D41B0"/>
    <w:rsid w:val="003D6AB2"/>
    <w:rsid w:val="003E1AAA"/>
    <w:rsid w:val="003E325E"/>
    <w:rsid w:val="003E458A"/>
    <w:rsid w:val="003E5DEC"/>
    <w:rsid w:val="003E6FD3"/>
    <w:rsid w:val="003F3C89"/>
    <w:rsid w:val="003F463B"/>
    <w:rsid w:val="003F490A"/>
    <w:rsid w:val="003F68D8"/>
    <w:rsid w:val="00406011"/>
    <w:rsid w:val="00406B53"/>
    <w:rsid w:val="00414639"/>
    <w:rsid w:val="00416837"/>
    <w:rsid w:val="00416985"/>
    <w:rsid w:val="00420F42"/>
    <w:rsid w:val="00421B8A"/>
    <w:rsid w:val="004226EC"/>
    <w:rsid w:val="00425C8B"/>
    <w:rsid w:val="00426947"/>
    <w:rsid w:val="00430D02"/>
    <w:rsid w:val="004358B0"/>
    <w:rsid w:val="00437AA8"/>
    <w:rsid w:val="0044099B"/>
    <w:rsid w:val="004438DF"/>
    <w:rsid w:val="00443F5F"/>
    <w:rsid w:val="0044760F"/>
    <w:rsid w:val="00451278"/>
    <w:rsid w:val="00454C7F"/>
    <w:rsid w:val="004601F5"/>
    <w:rsid w:val="0046241B"/>
    <w:rsid w:val="00467C72"/>
    <w:rsid w:val="00471C73"/>
    <w:rsid w:val="004766D1"/>
    <w:rsid w:val="00476AB7"/>
    <w:rsid w:val="0047747D"/>
    <w:rsid w:val="004776C8"/>
    <w:rsid w:val="00477A70"/>
    <w:rsid w:val="00477CBA"/>
    <w:rsid w:val="00482106"/>
    <w:rsid w:val="00482C6D"/>
    <w:rsid w:val="0049043A"/>
    <w:rsid w:val="00492053"/>
    <w:rsid w:val="00493AB4"/>
    <w:rsid w:val="00494E85"/>
    <w:rsid w:val="00495A2D"/>
    <w:rsid w:val="004A1F1A"/>
    <w:rsid w:val="004A3F9B"/>
    <w:rsid w:val="004A589D"/>
    <w:rsid w:val="004A5ADF"/>
    <w:rsid w:val="004B122E"/>
    <w:rsid w:val="004B2A86"/>
    <w:rsid w:val="004B5717"/>
    <w:rsid w:val="004C1EC2"/>
    <w:rsid w:val="004C4C0F"/>
    <w:rsid w:val="004C6CD2"/>
    <w:rsid w:val="004D0D9C"/>
    <w:rsid w:val="004E3CD2"/>
    <w:rsid w:val="004E4B5D"/>
    <w:rsid w:val="004E6044"/>
    <w:rsid w:val="004E7DBC"/>
    <w:rsid w:val="004F75A3"/>
    <w:rsid w:val="00501AC4"/>
    <w:rsid w:val="005031F2"/>
    <w:rsid w:val="00503871"/>
    <w:rsid w:val="00504737"/>
    <w:rsid w:val="005123BA"/>
    <w:rsid w:val="005162FB"/>
    <w:rsid w:val="00516DC2"/>
    <w:rsid w:val="00517B94"/>
    <w:rsid w:val="00521064"/>
    <w:rsid w:val="00522F88"/>
    <w:rsid w:val="00523FE0"/>
    <w:rsid w:val="00525E2F"/>
    <w:rsid w:val="00533BAD"/>
    <w:rsid w:val="00533CFE"/>
    <w:rsid w:val="00534652"/>
    <w:rsid w:val="00534EE9"/>
    <w:rsid w:val="00537C31"/>
    <w:rsid w:val="00537F8A"/>
    <w:rsid w:val="005411CD"/>
    <w:rsid w:val="00542453"/>
    <w:rsid w:val="00542C5E"/>
    <w:rsid w:val="00543BA0"/>
    <w:rsid w:val="005514C6"/>
    <w:rsid w:val="0055216A"/>
    <w:rsid w:val="0055235D"/>
    <w:rsid w:val="00552677"/>
    <w:rsid w:val="00552B5A"/>
    <w:rsid w:val="005537DD"/>
    <w:rsid w:val="005543D0"/>
    <w:rsid w:val="00557AB9"/>
    <w:rsid w:val="00557D54"/>
    <w:rsid w:val="00560AF7"/>
    <w:rsid w:val="0056369B"/>
    <w:rsid w:val="005727D3"/>
    <w:rsid w:val="005746AF"/>
    <w:rsid w:val="00577308"/>
    <w:rsid w:val="00582573"/>
    <w:rsid w:val="005829FE"/>
    <w:rsid w:val="005879E1"/>
    <w:rsid w:val="00590A48"/>
    <w:rsid w:val="0059161A"/>
    <w:rsid w:val="00592241"/>
    <w:rsid w:val="00592794"/>
    <w:rsid w:val="005932E8"/>
    <w:rsid w:val="00596FFA"/>
    <w:rsid w:val="005A7514"/>
    <w:rsid w:val="005B0C52"/>
    <w:rsid w:val="005B2298"/>
    <w:rsid w:val="005C1292"/>
    <w:rsid w:val="005C3170"/>
    <w:rsid w:val="005C45DD"/>
    <w:rsid w:val="005C55C2"/>
    <w:rsid w:val="005C6DF6"/>
    <w:rsid w:val="005D1BFE"/>
    <w:rsid w:val="005D1D67"/>
    <w:rsid w:val="005D45A3"/>
    <w:rsid w:val="005D4AC4"/>
    <w:rsid w:val="005E2A17"/>
    <w:rsid w:val="005E32C5"/>
    <w:rsid w:val="005E38AE"/>
    <w:rsid w:val="005E42CC"/>
    <w:rsid w:val="005E7A5D"/>
    <w:rsid w:val="005E7FAF"/>
    <w:rsid w:val="005F183B"/>
    <w:rsid w:val="005F530C"/>
    <w:rsid w:val="00610FB4"/>
    <w:rsid w:val="0061148B"/>
    <w:rsid w:val="006131E5"/>
    <w:rsid w:val="00615A2C"/>
    <w:rsid w:val="00616658"/>
    <w:rsid w:val="00620145"/>
    <w:rsid w:val="00620EB6"/>
    <w:rsid w:val="0062184C"/>
    <w:rsid w:val="00623C54"/>
    <w:rsid w:val="006313E3"/>
    <w:rsid w:val="00631EFA"/>
    <w:rsid w:val="00637685"/>
    <w:rsid w:val="00637CA0"/>
    <w:rsid w:val="0064075A"/>
    <w:rsid w:val="00641571"/>
    <w:rsid w:val="00646D58"/>
    <w:rsid w:val="00650CE0"/>
    <w:rsid w:val="00652258"/>
    <w:rsid w:val="00654971"/>
    <w:rsid w:val="00656917"/>
    <w:rsid w:val="00656E0A"/>
    <w:rsid w:val="00662B5C"/>
    <w:rsid w:val="00666563"/>
    <w:rsid w:val="00667C84"/>
    <w:rsid w:val="00670541"/>
    <w:rsid w:val="006717A2"/>
    <w:rsid w:val="00672345"/>
    <w:rsid w:val="006757D0"/>
    <w:rsid w:val="00680A86"/>
    <w:rsid w:val="00684E56"/>
    <w:rsid w:val="0068537C"/>
    <w:rsid w:val="00685B9D"/>
    <w:rsid w:val="006909C4"/>
    <w:rsid w:val="00694D65"/>
    <w:rsid w:val="006957D8"/>
    <w:rsid w:val="00697296"/>
    <w:rsid w:val="006A1F39"/>
    <w:rsid w:val="006A217F"/>
    <w:rsid w:val="006A65C5"/>
    <w:rsid w:val="006A6679"/>
    <w:rsid w:val="006A776A"/>
    <w:rsid w:val="006B1251"/>
    <w:rsid w:val="006B2EF0"/>
    <w:rsid w:val="006B34FD"/>
    <w:rsid w:val="006B4EB1"/>
    <w:rsid w:val="006B5663"/>
    <w:rsid w:val="006B584F"/>
    <w:rsid w:val="006C1B0D"/>
    <w:rsid w:val="006C23CD"/>
    <w:rsid w:val="006C7322"/>
    <w:rsid w:val="006C7F11"/>
    <w:rsid w:val="006D12DC"/>
    <w:rsid w:val="006D44EE"/>
    <w:rsid w:val="006D62FF"/>
    <w:rsid w:val="006D6556"/>
    <w:rsid w:val="006E17C1"/>
    <w:rsid w:val="006E2779"/>
    <w:rsid w:val="006E4203"/>
    <w:rsid w:val="006E441B"/>
    <w:rsid w:val="006E513A"/>
    <w:rsid w:val="006E665E"/>
    <w:rsid w:val="006E6D63"/>
    <w:rsid w:val="006E7062"/>
    <w:rsid w:val="006F1BCE"/>
    <w:rsid w:val="006F47B8"/>
    <w:rsid w:val="006F6063"/>
    <w:rsid w:val="006F637B"/>
    <w:rsid w:val="006F7C72"/>
    <w:rsid w:val="006F7F4B"/>
    <w:rsid w:val="00702DD6"/>
    <w:rsid w:val="00705C8C"/>
    <w:rsid w:val="00706448"/>
    <w:rsid w:val="007068C3"/>
    <w:rsid w:val="00710DF4"/>
    <w:rsid w:val="0071356C"/>
    <w:rsid w:val="007160E6"/>
    <w:rsid w:val="007173B9"/>
    <w:rsid w:val="00720C98"/>
    <w:rsid w:val="00720D52"/>
    <w:rsid w:val="007242CD"/>
    <w:rsid w:val="007278CA"/>
    <w:rsid w:val="0072793B"/>
    <w:rsid w:val="00727F75"/>
    <w:rsid w:val="007303E5"/>
    <w:rsid w:val="00732399"/>
    <w:rsid w:val="0074058F"/>
    <w:rsid w:val="007424E5"/>
    <w:rsid w:val="00745CEC"/>
    <w:rsid w:val="00745DAD"/>
    <w:rsid w:val="00751930"/>
    <w:rsid w:val="00753ACC"/>
    <w:rsid w:val="007540FA"/>
    <w:rsid w:val="007577D0"/>
    <w:rsid w:val="00757A64"/>
    <w:rsid w:val="007646A8"/>
    <w:rsid w:val="00770E29"/>
    <w:rsid w:val="0077496C"/>
    <w:rsid w:val="007802A4"/>
    <w:rsid w:val="0078193D"/>
    <w:rsid w:val="00783164"/>
    <w:rsid w:val="00783A02"/>
    <w:rsid w:val="00784075"/>
    <w:rsid w:val="00784BB8"/>
    <w:rsid w:val="00784C57"/>
    <w:rsid w:val="00785914"/>
    <w:rsid w:val="00786DEB"/>
    <w:rsid w:val="00787E52"/>
    <w:rsid w:val="00790629"/>
    <w:rsid w:val="0079539F"/>
    <w:rsid w:val="007A0221"/>
    <w:rsid w:val="007A1FA6"/>
    <w:rsid w:val="007A478E"/>
    <w:rsid w:val="007A5672"/>
    <w:rsid w:val="007B23FE"/>
    <w:rsid w:val="007B2BE2"/>
    <w:rsid w:val="007B5454"/>
    <w:rsid w:val="007B552A"/>
    <w:rsid w:val="007B6D3B"/>
    <w:rsid w:val="007C41FB"/>
    <w:rsid w:val="007C4A1A"/>
    <w:rsid w:val="007C4D9B"/>
    <w:rsid w:val="007C6B7A"/>
    <w:rsid w:val="007C7B6E"/>
    <w:rsid w:val="007C7C61"/>
    <w:rsid w:val="007C7E74"/>
    <w:rsid w:val="007D2BE9"/>
    <w:rsid w:val="007D3678"/>
    <w:rsid w:val="007D63C2"/>
    <w:rsid w:val="007E184F"/>
    <w:rsid w:val="007E3C76"/>
    <w:rsid w:val="007E77DB"/>
    <w:rsid w:val="007F0322"/>
    <w:rsid w:val="007F1989"/>
    <w:rsid w:val="007F40A7"/>
    <w:rsid w:val="00801EB7"/>
    <w:rsid w:val="0080221B"/>
    <w:rsid w:val="008039DF"/>
    <w:rsid w:val="00820A0E"/>
    <w:rsid w:val="008267D4"/>
    <w:rsid w:val="00826C23"/>
    <w:rsid w:val="00832C9A"/>
    <w:rsid w:val="008371A4"/>
    <w:rsid w:val="008406FC"/>
    <w:rsid w:val="00840E10"/>
    <w:rsid w:val="00843272"/>
    <w:rsid w:val="008435E7"/>
    <w:rsid w:val="0084394A"/>
    <w:rsid w:val="00843B46"/>
    <w:rsid w:val="00845401"/>
    <w:rsid w:val="00847CB4"/>
    <w:rsid w:val="00851133"/>
    <w:rsid w:val="00855341"/>
    <w:rsid w:val="00856F93"/>
    <w:rsid w:val="008600D0"/>
    <w:rsid w:val="00862D7C"/>
    <w:rsid w:val="00863E57"/>
    <w:rsid w:val="00865D35"/>
    <w:rsid w:val="008667C3"/>
    <w:rsid w:val="00875538"/>
    <w:rsid w:val="00876855"/>
    <w:rsid w:val="0087725B"/>
    <w:rsid w:val="008775E7"/>
    <w:rsid w:val="008801E7"/>
    <w:rsid w:val="00883570"/>
    <w:rsid w:val="00883EA3"/>
    <w:rsid w:val="0088546D"/>
    <w:rsid w:val="0088572C"/>
    <w:rsid w:val="00885EFD"/>
    <w:rsid w:val="0088726C"/>
    <w:rsid w:val="00890234"/>
    <w:rsid w:val="008925ED"/>
    <w:rsid w:val="008932E4"/>
    <w:rsid w:val="00895165"/>
    <w:rsid w:val="008959C3"/>
    <w:rsid w:val="008970C1"/>
    <w:rsid w:val="008A04C9"/>
    <w:rsid w:val="008A06EC"/>
    <w:rsid w:val="008A5CBB"/>
    <w:rsid w:val="008A5DF5"/>
    <w:rsid w:val="008B1ADB"/>
    <w:rsid w:val="008B36CA"/>
    <w:rsid w:val="008B5B8B"/>
    <w:rsid w:val="008B5CAF"/>
    <w:rsid w:val="008B68B1"/>
    <w:rsid w:val="008B72D0"/>
    <w:rsid w:val="008C15DC"/>
    <w:rsid w:val="008C1B65"/>
    <w:rsid w:val="008C2392"/>
    <w:rsid w:val="008C2DA5"/>
    <w:rsid w:val="008C5CD7"/>
    <w:rsid w:val="008D1EBF"/>
    <w:rsid w:val="008D489C"/>
    <w:rsid w:val="008E0FDB"/>
    <w:rsid w:val="008E11DE"/>
    <w:rsid w:val="008E1B39"/>
    <w:rsid w:val="008F038A"/>
    <w:rsid w:val="008F16F3"/>
    <w:rsid w:val="008F2663"/>
    <w:rsid w:val="008F4053"/>
    <w:rsid w:val="008F5EAC"/>
    <w:rsid w:val="008F7C2B"/>
    <w:rsid w:val="0090445D"/>
    <w:rsid w:val="009044D8"/>
    <w:rsid w:val="00904893"/>
    <w:rsid w:val="0090722E"/>
    <w:rsid w:val="00910CED"/>
    <w:rsid w:val="0091219B"/>
    <w:rsid w:val="00914B7A"/>
    <w:rsid w:val="00914D1B"/>
    <w:rsid w:val="00916422"/>
    <w:rsid w:val="0091666F"/>
    <w:rsid w:val="0091775C"/>
    <w:rsid w:val="00922886"/>
    <w:rsid w:val="009273E3"/>
    <w:rsid w:val="009279A2"/>
    <w:rsid w:val="00930537"/>
    <w:rsid w:val="0093186A"/>
    <w:rsid w:val="00941E36"/>
    <w:rsid w:val="0094314F"/>
    <w:rsid w:val="00944A37"/>
    <w:rsid w:val="009473E0"/>
    <w:rsid w:val="00951940"/>
    <w:rsid w:val="00953311"/>
    <w:rsid w:val="00953A60"/>
    <w:rsid w:val="00955924"/>
    <w:rsid w:val="00956D26"/>
    <w:rsid w:val="00960F39"/>
    <w:rsid w:val="0096157F"/>
    <w:rsid w:val="00963644"/>
    <w:rsid w:val="00966C2A"/>
    <w:rsid w:val="00967E6F"/>
    <w:rsid w:val="00973B75"/>
    <w:rsid w:val="009803C4"/>
    <w:rsid w:val="00982C3F"/>
    <w:rsid w:val="00983039"/>
    <w:rsid w:val="009866BF"/>
    <w:rsid w:val="0099093D"/>
    <w:rsid w:val="00993C45"/>
    <w:rsid w:val="00994446"/>
    <w:rsid w:val="00995174"/>
    <w:rsid w:val="009964BE"/>
    <w:rsid w:val="00996EB1"/>
    <w:rsid w:val="00997F38"/>
    <w:rsid w:val="009A27A9"/>
    <w:rsid w:val="009A49E0"/>
    <w:rsid w:val="009A619F"/>
    <w:rsid w:val="009B0E06"/>
    <w:rsid w:val="009B1CCF"/>
    <w:rsid w:val="009B78AB"/>
    <w:rsid w:val="009C17F8"/>
    <w:rsid w:val="009C2119"/>
    <w:rsid w:val="009C2D54"/>
    <w:rsid w:val="009C4395"/>
    <w:rsid w:val="009C5945"/>
    <w:rsid w:val="009D0988"/>
    <w:rsid w:val="009E469B"/>
    <w:rsid w:val="009E5069"/>
    <w:rsid w:val="009E5BB3"/>
    <w:rsid w:val="009E67EC"/>
    <w:rsid w:val="009F097C"/>
    <w:rsid w:val="009F3338"/>
    <w:rsid w:val="009F3887"/>
    <w:rsid w:val="009F473B"/>
    <w:rsid w:val="009F52FA"/>
    <w:rsid w:val="009F64FD"/>
    <w:rsid w:val="009F6622"/>
    <w:rsid w:val="009F6C19"/>
    <w:rsid w:val="00A01022"/>
    <w:rsid w:val="00A0140B"/>
    <w:rsid w:val="00A01EA9"/>
    <w:rsid w:val="00A026F9"/>
    <w:rsid w:val="00A057A9"/>
    <w:rsid w:val="00A06716"/>
    <w:rsid w:val="00A07E38"/>
    <w:rsid w:val="00A155B8"/>
    <w:rsid w:val="00A163A9"/>
    <w:rsid w:val="00A24E04"/>
    <w:rsid w:val="00A30B75"/>
    <w:rsid w:val="00A37D85"/>
    <w:rsid w:val="00A40300"/>
    <w:rsid w:val="00A421E7"/>
    <w:rsid w:val="00A46454"/>
    <w:rsid w:val="00A478E5"/>
    <w:rsid w:val="00A47B8A"/>
    <w:rsid w:val="00A56E39"/>
    <w:rsid w:val="00A66BB2"/>
    <w:rsid w:val="00A704DE"/>
    <w:rsid w:val="00A70F6E"/>
    <w:rsid w:val="00A73C89"/>
    <w:rsid w:val="00A77361"/>
    <w:rsid w:val="00A84142"/>
    <w:rsid w:val="00A853DF"/>
    <w:rsid w:val="00A8547F"/>
    <w:rsid w:val="00A9010A"/>
    <w:rsid w:val="00A902F9"/>
    <w:rsid w:val="00A91E47"/>
    <w:rsid w:val="00A92C1E"/>
    <w:rsid w:val="00A92F52"/>
    <w:rsid w:val="00A93FEA"/>
    <w:rsid w:val="00A93FEB"/>
    <w:rsid w:val="00A9660A"/>
    <w:rsid w:val="00A96938"/>
    <w:rsid w:val="00AA07D8"/>
    <w:rsid w:val="00AA2010"/>
    <w:rsid w:val="00AA26DF"/>
    <w:rsid w:val="00AA56E6"/>
    <w:rsid w:val="00AB2DC8"/>
    <w:rsid w:val="00AB3197"/>
    <w:rsid w:val="00AB3220"/>
    <w:rsid w:val="00AB5DB3"/>
    <w:rsid w:val="00AC22E5"/>
    <w:rsid w:val="00AC275D"/>
    <w:rsid w:val="00AC2DDD"/>
    <w:rsid w:val="00AC3EA4"/>
    <w:rsid w:val="00AC442B"/>
    <w:rsid w:val="00AC4F82"/>
    <w:rsid w:val="00AC5629"/>
    <w:rsid w:val="00AC5762"/>
    <w:rsid w:val="00AC598E"/>
    <w:rsid w:val="00AC5AD1"/>
    <w:rsid w:val="00AD1CEA"/>
    <w:rsid w:val="00AD4528"/>
    <w:rsid w:val="00AD5AC1"/>
    <w:rsid w:val="00AD71B5"/>
    <w:rsid w:val="00AE04CE"/>
    <w:rsid w:val="00AE56AB"/>
    <w:rsid w:val="00AE6C85"/>
    <w:rsid w:val="00AE6EE8"/>
    <w:rsid w:val="00AF1A19"/>
    <w:rsid w:val="00AF4E5F"/>
    <w:rsid w:val="00AF6198"/>
    <w:rsid w:val="00B024CF"/>
    <w:rsid w:val="00B20488"/>
    <w:rsid w:val="00B27F80"/>
    <w:rsid w:val="00B31D34"/>
    <w:rsid w:val="00B33137"/>
    <w:rsid w:val="00B335D5"/>
    <w:rsid w:val="00B33E40"/>
    <w:rsid w:val="00B37981"/>
    <w:rsid w:val="00B401DE"/>
    <w:rsid w:val="00B4173B"/>
    <w:rsid w:val="00B43839"/>
    <w:rsid w:val="00B441C3"/>
    <w:rsid w:val="00B465A1"/>
    <w:rsid w:val="00B46D55"/>
    <w:rsid w:val="00B475AC"/>
    <w:rsid w:val="00B52892"/>
    <w:rsid w:val="00B55A6D"/>
    <w:rsid w:val="00B61327"/>
    <w:rsid w:val="00B64BDD"/>
    <w:rsid w:val="00B6729D"/>
    <w:rsid w:val="00B72437"/>
    <w:rsid w:val="00B72B02"/>
    <w:rsid w:val="00B74198"/>
    <w:rsid w:val="00B75E12"/>
    <w:rsid w:val="00B7691A"/>
    <w:rsid w:val="00B80DFF"/>
    <w:rsid w:val="00B810FE"/>
    <w:rsid w:val="00B83461"/>
    <w:rsid w:val="00B8365D"/>
    <w:rsid w:val="00B83B2A"/>
    <w:rsid w:val="00B853F6"/>
    <w:rsid w:val="00B877B0"/>
    <w:rsid w:val="00B92C0D"/>
    <w:rsid w:val="00B93515"/>
    <w:rsid w:val="00B94A6F"/>
    <w:rsid w:val="00BA13DF"/>
    <w:rsid w:val="00BA22B5"/>
    <w:rsid w:val="00BA3EBC"/>
    <w:rsid w:val="00BA4DB2"/>
    <w:rsid w:val="00BA5504"/>
    <w:rsid w:val="00BA7737"/>
    <w:rsid w:val="00BA7A53"/>
    <w:rsid w:val="00BB057E"/>
    <w:rsid w:val="00BB429E"/>
    <w:rsid w:val="00BB50D0"/>
    <w:rsid w:val="00BB6116"/>
    <w:rsid w:val="00BB7649"/>
    <w:rsid w:val="00BB7A2F"/>
    <w:rsid w:val="00BB7D7C"/>
    <w:rsid w:val="00BB7EC9"/>
    <w:rsid w:val="00BC0204"/>
    <w:rsid w:val="00BC6D0A"/>
    <w:rsid w:val="00BD1D1C"/>
    <w:rsid w:val="00BD1F72"/>
    <w:rsid w:val="00BD5AA9"/>
    <w:rsid w:val="00BE22BC"/>
    <w:rsid w:val="00BE326A"/>
    <w:rsid w:val="00BF3CB6"/>
    <w:rsid w:val="00BF428B"/>
    <w:rsid w:val="00BF43B9"/>
    <w:rsid w:val="00BF586C"/>
    <w:rsid w:val="00BF755C"/>
    <w:rsid w:val="00C01E91"/>
    <w:rsid w:val="00C0523C"/>
    <w:rsid w:val="00C06DF3"/>
    <w:rsid w:val="00C10D11"/>
    <w:rsid w:val="00C11A90"/>
    <w:rsid w:val="00C11B0F"/>
    <w:rsid w:val="00C133E2"/>
    <w:rsid w:val="00C21BE8"/>
    <w:rsid w:val="00C21D8D"/>
    <w:rsid w:val="00C2438C"/>
    <w:rsid w:val="00C26808"/>
    <w:rsid w:val="00C31B9E"/>
    <w:rsid w:val="00C33A42"/>
    <w:rsid w:val="00C37C4D"/>
    <w:rsid w:val="00C421D8"/>
    <w:rsid w:val="00C435AE"/>
    <w:rsid w:val="00C473E2"/>
    <w:rsid w:val="00C500E8"/>
    <w:rsid w:val="00C511BF"/>
    <w:rsid w:val="00C635DD"/>
    <w:rsid w:val="00C63909"/>
    <w:rsid w:val="00C65C61"/>
    <w:rsid w:val="00C67ED5"/>
    <w:rsid w:val="00C71D2C"/>
    <w:rsid w:val="00C738B9"/>
    <w:rsid w:val="00C73E34"/>
    <w:rsid w:val="00C76D19"/>
    <w:rsid w:val="00C77764"/>
    <w:rsid w:val="00C80208"/>
    <w:rsid w:val="00C87D38"/>
    <w:rsid w:val="00C91691"/>
    <w:rsid w:val="00C92E51"/>
    <w:rsid w:val="00C93496"/>
    <w:rsid w:val="00C9391B"/>
    <w:rsid w:val="00C943B1"/>
    <w:rsid w:val="00C95104"/>
    <w:rsid w:val="00CA05AB"/>
    <w:rsid w:val="00CA0799"/>
    <w:rsid w:val="00CA26CE"/>
    <w:rsid w:val="00CA3AD1"/>
    <w:rsid w:val="00CA408F"/>
    <w:rsid w:val="00CA6C90"/>
    <w:rsid w:val="00CB2752"/>
    <w:rsid w:val="00CB3FE7"/>
    <w:rsid w:val="00CB663E"/>
    <w:rsid w:val="00CB74D9"/>
    <w:rsid w:val="00CC0D1A"/>
    <w:rsid w:val="00CC244F"/>
    <w:rsid w:val="00CC2C12"/>
    <w:rsid w:val="00CC54FB"/>
    <w:rsid w:val="00CC7803"/>
    <w:rsid w:val="00CD1B61"/>
    <w:rsid w:val="00CD2CB6"/>
    <w:rsid w:val="00CD50F9"/>
    <w:rsid w:val="00CE1361"/>
    <w:rsid w:val="00CE48A6"/>
    <w:rsid w:val="00CF0B21"/>
    <w:rsid w:val="00CF3AE4"/>
    <w:rsid w:val="00CF55D6"/>
    <w:rsid w:val="00D04DE9"/>
    <w:rsid w:val="00D10B9C"/>
    <w:rsid w:val="00D16BA6"/>
    <w:rsid w:val="00D16C97"/>
    <w:rsid w:val="00D178B0"/>
    <w:rsid w:val="00D21C74"/>
    <w:rsid w:val="00D232B2"/>
    <w:rsid w:val="00D24E33"/>
    <w:rsid w:val="00D25FA6"/>
    <w:rsid w:val="00D30586"/>
    <w:rsid w:val="00D31F27"/>
    <w:rsid w:val="00D35A3F"/>
    <w:rsid w:val="00D36D22"/>
    <w:rsid w:val="00D404D8"/>
    <w:rsid w:val="00D406E9"/>
    <w:rsid w:val="00D4137B"/>
    <w:rsid w:val="00D4503C"/>
    <w:rsid w:val="00D47AAD"/>
    <w:rsid w:val="00D47B85"/>
    <w:rsid w:val="00D532EB"/>
    <w:rsid w:val="00D54600"/>
    <w:rsid w:val="00D60A45"/>
    <w:rsid w:val="00D61766"/>
    <w:rsid w:val="00D63044"/>
    <w:rsid w:val="00D73EB1"/>
    <w:rsid w:val="00D74A92"/>
    <w:rsid w:val="00D75235"/>
    <w:rsid w:val="00D762AB"/>
    <w:rsid w:val="00D76D93"/>
    <w:rsid w:val="00D76F27"/>
    <w:rsid w:val="00D80116"/>
    <w:rsid w:val="00D83B1C"/>
    <w:rsid w:val="00D83D08"/>
    <w:rsid w:val="00D853F0"/>
    <w:rsid w:val="00D857D1"/>
    <w:rsid w:val="00D902FC"/>
    <w:rsid w:val="00D96CDD"/>
    <w:rsid w:val="00DA16C0"/>
    <w:rsid w:val="00DA3D94"/>
    <w:rsid w:val="00DA59D0"/>
    <w:rsid w:val="00DB54B0"/>
    <w:rsid w:val="00DC58A0"/>
    <w:rsid w:val="00DC73D8"/>
    <w:rsid w:val="00DD1A8B"/>
    <w:rsid w:val="00DD276C"/>
    <w:rsid w:val="00DD33C1"/>
    <w:rsid w:val="00DD4975"/>
    <w:rsid w:val="00DD6E18"/>
    <w:rsid w:val="00DD7A01"/>
    <w:rsid w:val="00DE0E50"/>
    <w:rsid w:val="00DE39D5"/>
    <w:rsid w:val="00DF10F3"/>
    <w:rsid w:val="00DF4F8B"/>
    <w:rsid w:val="00DF60F2"/>
    <w:rsid w:val="00DF6DCD"/>
    <w:rsid w:val="00DF7EE0"/>
    <w:rsid w:val="00E028C8"/>
    <w:rsid w:val="00E053A6"/>
    <w:rsid w:val="00E056CE"/>
    <w:rsid w:val="00E057CF"/>
    <w:rsid w:val="00E07E32"/>
    <w:rsid w:val="00E11278"/>
    <w:rsid w:val="00E13B1E"/>
    <w:rsid w:val="00E1453A"/>
    <w:rsid w:val="00E152AB"/>
    <w:rsid w:val="00E152DE"/>
    <w:rsid w:val="00E15458"/>
    <w:rsid w:val="00E16A88"/>
    <w:rsid w:val="00E1753F"/>
    <w:rsid w:val="00E24B7E"/>
    <w:rsid w:val="00E255B6"/>
    <w:rsid w:val="00E26A79"/>
    <w:rsid w:val="00E27C22"/>
    <w:rsid w:val="00E309F3"/>
    <w:rsid w:val="00E31122"/>
    <w:rsid w:val="00E31A09"/>
    <w:rsid w:val="00E32C0C"/>
    <w:rsid w:val="00E35319"/>
    <w:rsid w:val="00E36646"/>
    <w:rsid w:val="00E37BA9"/>
    <w:rsid w:val="00E4675A"/>
    <w:rsid w:val="00E52A7A"/>
    <w:rsid w:val="00E57169"/>
    <w:rsid w:val="00E64367"/>
    <w:rsid w:val="00E92A51"/>
    <w:rsid w:val="00E93725"/>
    <w:rsid w:val="00E94656"/>
    <w:rsid w:val="00E96060"/>
    <w:rsid w:val="00E9617E"/>
    <w:rsid w:val="00EA177F"/>
    <w:rsid w:val="00EA21C8"/>
    <w:rsid w:val="00EB14A7"/>
    <w:rsid w:val="00EB1644"/>
    <w:rsid w:val="00EB1865"/>
    <w:rsid w:val="00EB2EE8"/>
    <w:rsid w:val="00EB3DE6"/>
    <w:rsid w:val="00EB3E78"/>
    <w:rsid w:val="00EB43AD"/>
    <w:rsid w:val="00EB7BC2"/>
    <w:rsid w:val="00EC1D11"/>
    <w:rsid w:val="00EC20FD"/>
    <w:rsid w:val="00EC3ACD"/>
    <w:rsid w:val="00EC60A7"/>
    <w:rsid w:val="00EC663E"/>
    <w:rsid w:val="00EC67E8"/>
    <w:rsid w:val="00EC707C"/>
    <w:rsid w:val="00EC72FC"/>
    <w:rsid w:val="00EC7B1C"/>
    <w:rsid w:val="00ED36C5"/>
    <w:rsid w:val="00ED43E2"/>
    <w:rsid w:val="00ED44EC"/>
    <w:rsid w:val="00ED52D9"/>
    <w:rsid w:val="00EE11C7"/>
    <w:rsid w:val="00EE1AA3"/>
    <w:rsid w:val="00EE2006"/>
    <w:rsid w:val="00EE2FAE"/>
    <w:rsid w:val="00EE3F31"/>
    <w:rsid w:val="00EE438F"/>
    <w:rsid w:val="00EF5369"/>
    <w:rsid w:val="00F005A7"/>
    <w:rsid w:val="00F00B74"/>
    <w:rsid w:val="00F01E42"/>
    <w:rsid w:val="00F1122E"/>
    <w:rsid w:val="00F14DBA"/>
    <w:rsid w:val="00F1594C"/>
    <w:rsid w:val="00F1622A"/>
    <w:rsid w:val="00F165E3"/>
    <w:rsid w:val="00F20A32"/>
    <w:rsid w:val="00F20E52"/>
    <w:rsid w:val="00F22CEA"/>
    <w:rsid w:val="00F22D27"/>
    <w:rsid w:val="00F25707"/>
    <w:rsid w:val="00F26411"/>
    <w:rsid w:val="00F30EA6"/>
    <w:rsid w:val="00F37EE1"/>
    <w:rsid w:val="00F405AA"/>
    <w:rsid w:val="00F42EAF"/>
    <w:rsid w:val="00F52C5D"/>
    <w:rsid w:val="00F53561"/>
    <w:rsid w:val="00F56D77"/>
    <w:rsid w:val="00F616CE"/>
    <w:rsid w:val="00F63A3B"/>
    <w:rsid w:val="00F70829"/>
    <w:rsid w:val="00F72AC9"/>
    <w:rsid w:val="00F741A7"/>
    <w:rsid w:val="00F74397"/>
    <w:rsid w:val="00F7651F"/>
    <w:rsid w:val="00F7702A"/>
    <w:rsid w:val="00F81481"/>
    <w:rsid w:val="00F81837"/>
    <w:rsid w:val="00F8222C"/>
    <w:rsid w:val="00F84A9E"/>
    <w:rsid w:val="00F90D8C"/>
    <w:rsid w:val="00F92639"/>
    <w:rsid w:val="00F9295B"/>
    <w:rsid w:val="00F971B3"/>
    <w:rsid w:val="00F97F70"/>
    <w:rsid w:val="00FA210F"/>
    <w:rsid w:val="00FA27AE"/>
    <w:rsid w:val="00FA2BFF"/>
    <w:rsid w:val="00FA3597"/>
    <w:rsid w:val="00FA5326"/>
    <w:rsid w:val="00FA64B6"/>
    <w:rsid w:val="00FB21B7"/>
    <w:rsid w:val="00FB4507"/>
    <w:rsid w:val="00FC0BBA"/>
    <w:rsid w:val="00FC423D"/>
    <w:rsid w:val="00FC5196"/>
    <w:rsid w:val="00FC7734"/>
    <w:rsid w:val="00FD0D0E"/>
    <w:rsid w:val="00FD5569"/>
    <w:rsid w:val="00FE44D6"/>
    <w:rsid w:val="00FE4C6C"/>
    <w:rsid w:val="00FF0221"/>
    <w:rsid w:val="00FF3DB4"/>
    <w:rsid w:val="00FF4A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CD90C"/>
  <w15:docId w15:val="{960B91FB-4452-4391-A9B2-E12CF8D3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A7"/>
    <w:pPr>
      <w:spacing w:after="200" w:line="276" w:lineRule="auto"/>
    </w:pPr>
    <w:rPr>
      <w:sz w:val="22"/>
      <w:szCs w:val="22"/>
      <w:lang w:val="en-US" w:eastAsia="en-US"/>
    </w:rPr>
  </w:style>
  <w:style w:type="paragraph" w:styleId="Heading1">
    <w:name w:val="heading 1"/>
    <w:basedOn w:val="Normal"/>
    <w:next w:val="Normal"/>
    <w:link w:val="Heading1Char"/>
    <w:qFormat/>
    <w:rsid w:val="002075CA"/>
    <w:pPr>
      <w:keepNext/>
      <w:keepLines/>
      <w:spacing w:before="480" w:after="0" w:line="240" w:lineRule="auto"/>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1EBF"/>
    <w:pPr>
      <w:ind w:left="720"/>
      <w:contextualSpacing/>
    </w:pPr>
  </w:style>
  <w:style w:type="paragraph" w:styleId="FootnoteText">
    <w:name w:val="footnote text"/>
    <w:basedOn w:val="Normal"/>
    <w:link w:val="FootnoteTextChar"/>
    <w:uiPriority w:val="99"/>
    <w:semiHidden/>
    <w:unhideWhenUsed/>
    <w:rsid w:val="005829FE"/>
    <w:pPr>
      <w:spacing w:after="0" w:line="240" w:lineRule="auto"/>
    </w:pPr>
    <w:rPr>
      <w:sz w:val="20"/>
      <w:szCs w:val="20"/>
    </w:rPr>
  </w:style>
  <w:style w:type="character" w:customStyle="1" w:styleId="FootnoteTextChar">
    <w:name w:val="Footnote Text Char"/>
    <w:link w:val="FootnoteText"/>
    <w:uiPriority w:val="99"/>
    <w:semiHidden/>
    <w:rsid w:val="005829FE"/>
    <w:rPr>
      <w:sz w:val="20"/>
      <w:szCs w:val="20"/>
    </w:rPr>
  </w:style>
  <w:style w:type="character" w:styleId="FootnoteReference">
    <w:name w:val="footnote reference"/>
    <w:uiPriority w:val="99"/>
    <w:semiHidden/>
    <w:unhideWhenUsed/>
    <w:rsid w:val="005829FE"/>
    <w:rPr>
      <w:vertAlign w:val="superscript"/>
    </w:rPr>
  </w:style>
  <w:style w:type="paragraph" w:customStyle="1" w:styleId="Tabletext">
    <w:name w:val="Table_text"/>
    <w:basedOn w:val="Normal"/>
    <w:link w:val="TabletextChar"/>
    <w:uiPriority w:val="99"/>
    <w:rsid w:val="001B651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sz w:val="20"/>
      <w:szCs w:val="20"/>
      <w:lang w:val="en-GB"/>
    </w:rPr>
  </w:style>
  <w:style w:type="character" w:customStyle="1" w:styleId="TabletextChar">
    <w:name w:val="Table_text Char"/>
    <w:link w:val="Tabletext"/>
    <w:uiPriority w:val="99"/>
    <w:locked/>
    <w:rsid w:val="001B651A"/>
    <w:rPr>
      <w:rFonts w:ascii="Times New Roman" w:eastAsia="Times New Roman" w:hAnsi="Times New Roman" w:cs="Times New Roman"/>
      <w:sz w:val="20"/>
      <w:szCs w:val="20"/>
      <w:lang w:val="en-GB"/>
    </w:rPr>
  </w:style>
  <w:style w:type="character" w:customStyle="1" w:styleId="Artdef">
    <w:name w:val="Art_def"/>
    <w:uiPriority w:val="99"/>
    <w:rsid w:val="008435E7"/>
    <w:rPr>
      <w:rFonts w:ascii="Times New Roman" w:hAnsi="Times New Roman"/>
      <w:b/>
    </w:rPr>
  </w:style>
  <w:style w:type="paragraph" w:customStyle="1" w:styleId="Note">
    <w:name w:val="Note"/>
    <w:basedOn w:val="Normal"/>
    <w:link w:val="NoteChar"/>
    <w:uiPriority w:val="99"/>
    <w:rsid w:val="008435E7"/>
    <w:pPr>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sz w:val="24"/>
      <w:szCs w:val="20"/>
      <w:lang w:val="en-GB"/>
    </w:rPr>
  </w:style>
  <w:style w:type="character" w:customStyle="1" w:styleId="NoteChar">
    <w:name w:val="Note Char"/>
    <w:link w:val="Note"/>
    <w:uiPriority w:val="99"/>
    <w:locked/>
    <w:rsid w:val="008435E7"/>
    <w:rPr>
      <w:rFonts w:ascii="Times New Roman" w:eastAsia="Times New Roman" w:hAnsi="Times New Roman" w:cs="Times New Roman"/>
      <w:sz w:val="24"/>
      <w:szCs w:val="20"/>
      <w:lang w:val="en-GB"/>
    </w:rPr>
  </w:style>
  <w:style w:type="character" w:customStyle="1" w:styleId="Heading1Char">
    <w:name w:val="Heading 1 Char"/>
    <w:link w:val="Heading1"/>
    <w:rsid w:val="002075CA"/>
    <w:rPr>
      <w:rFonts w:ascii="Cambria" w:eastAsia="Times New Roman" w:hAnsi="Cambria" w:cs="Times New Roman"/>
      <w:b/>
      <w:bCs/>
      <w:color w:val="365F91"/>
      <w:sz w:val="28"/>
      <w:szCs w:val="28"/>
      <w:lang w:val="en-US" w:eastAsia="en-US"/>
    </w:rPr>
  </w:style>
  <w:style w:type="paragraph" w:styleId="Header">
    <w:name w:val="header"/>
    <w:basedOn w:val="Normal"/>
    <w:link w:val="HeaderChar"/>
    <w:rsid w:val="002075CA"/>
    <w:pPr>
      <w:tabs>
        <w:tab w:val="center" w:pos="4153"/>
        <w:tab w:val="right" w:pos="8306"/>
      </w:tabs>
      <w:spacing w:after="0" w:line="240" w:lineRule="auto"/>
    </w:pPr>
    <w:rPr>
      <w:rFonts w:ascii="Times New Roman" w:eastAsia="MS Mincho" w:hAnsi="Times New Roman"/>
      <w:sz w:val="20"/>
      <w:szCs w:val="20"/>
      <w:lang w:eastAsia="en-GB"/>
    </w:rPr>
  </w:style>
  <w:style w:type="character" w:customStyle="1" w:styleId="HeaderChar">
    <w:name w:val="Header Char"/>
    <w:link w:val="Header"/>
    <w:rsid w:val="002075CA"/>
    <w:rPr>
      <w:rFonts w:ascii="Times New Roman" w:eastAsia="MS Mincho" w:hAnsi="Times New Roman"/>
      <w:lang w:val="en-US"/>
    </w:rPr>
  </w:style>
  <w:style w:type="paragraph" w:styleId="Footer">
    <w:name w:val="footer"/>
    <w:basedOn w:val="Normal"/>
    <w:link w:val="FooterChar"/>
    <w:uiPriority w:val="99"/>
    <w:unhideWhenUsed/>
    <w:rsid w:val="00AD5AC1"/>
    <w:pPr>
      <w:tabs>
        <w:tab w:val="center" w:pos="4513"/>
        <w:tab w:val="right" w:pos="9026"/>
      </w:tabs>
    </w:pPr>
  </w:style>
  <w:style w:type="character" w:customStyle="1" w:styleId="FooterChar">
    <w:name w:val="Footer Char"/>
    <w:link w:val="Footer"/>
    <w:uiPriority w:val="99"/>
    <w:rsid w:val="00AD5AC1"/>
    <w:rPr>
      <w:sz w:val="22"/>
      <w:szCs w:val="22"/>
      <w:lang w:val="en-US" w:eastAsia="en-US"/>
    </w:rPr>
  </w:style>
  <w:style w:type="character" w:styleId="CommentReference">
    <w:name w:val="annotation reference"/>
    <w:uiPriority w:val="99"/>
    <w:semiHidden/>
    <w:unhideWhenUsed/>
    <w:rsid w:val="002F26FC"/>
    <w:rPr>
      <w:sz w:val="16"/>
      <w:szCs w:val="16"/>
    </w:rPr>
  </w:style>
  <w:style w:type="paragraph" w:styleId="CommentText">
    <w:name w:val="annotation text"/>
    <w:basedOn w:val="Normal"/>
    <w:link w:val="CommentTextChar"/>
    <w:uiPriority w:val="99"/>
    <w:semiHidden/>
    <w:unhideWhenUsed/>
    <w:rsid w:val="002F26FC"/>
    <w:rPr>
      <w:sz w:val="20"/>
      <w:szCs w:val="20"/>
    </w:rPr>
  </w:style>
  <w:style w:type="character" w:customStyle="1" w:styleId="CommentTextChar">
    <w:name w:val="Comment Text Char"/>
    <w:basedOn w:val="DefaultParagraphFont"/>
    <w:link w:val="CommentText"/>
    <w:uiPriority w:val="99"/>
    <w:semiHidden/>
    <w:rsid w:val="002F26FC"/>
  </w:style>
  <w:style w:type="paragraph" w:styleId="CommentSubject">
    <w:name w:val="annotation subject"/>
    <w:basedOn w:val="CommentText"/>
    <w:next w:val="CommentText"/>
    <w:link w:val="CommentSubjectChar"/>
    <w:uiPriority w:val="99"/>
    <w:semiHidden/>
    <w:unhideWhenUsed/>
    <w:rsid w:val="002F26FC"/>
    <w:rPr>
      <w:b/>
      <w:bCs/>
    </w:rPr>
  </w:style>
  <w:style w:type="character" w:customStyle="1" w:styleId="CommentSubjectChar">
    <w:name w:val="Comment Subject Char"/>
    <w:link w:val="CommentSubject"/>
    <w:uiPriority w:val="99"/>
    <w:semiHidden/>
    <w:rsid w:val="002F26FC"/>
    <w:rPr>
      <w:b/>
      <w:bCs/>
    </w:rPr>
  </w:style>
  <w:style w:type="paragraph" w:styleId="BalloonText">
    <w:name w:val="Balloon Text"/>
    <w:basedOn w:val="Normal"/>
    <w:link w:val="BalloonTextChar"/>
    <w:uiPriority w:val="99"/>
    <w:semiHidden/>
    <w:unhideWhenUsed/>
    <w:rsid w:val="002F26F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F26FC"/>
    <w:rPr>
      <w:rFonts w:ascii="Segoe UI" w:hAnsi="Segoe UI" w:cs="Segoe UI"/>
      <w:sz w:val="18"/>
      <w:szCs w:val="18"/>
    </w:rPr>
  </w:style>
  <w:style w:type="character" w:styleId="Hyperlink">
    <w:name w:val="Hyperlink"/>
    <w:uiPriority w:val="99"/>
    <w:unhideWhenUsed/>
    <w:rsid w:val="00955924"/>
    <w:rPr>
      <w:color w:val="0563C1"/>
      <w:u w:val="single"/>
    </w:rPr>
  </w:style>
  <w:style w:type="paragraph" w:customStyle="1" w:styleId="Tablehead">
    <w:name w:val="Table_head"/>
    <w:basedOn w:val="Normal"/>
    <w:next w:val="Normal"/>
    <w:link w:val="TableheadChar"/>
    <w:rsid w:val="0095592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Arial Bold" w:eastAsia="Times New Roman" w:hAnsi="Arial Bold"/>
      <w:b/>
      <w:sz w:val="18"/>
      <w:szCs w:val="20"/>
      <w:lang w:val="fr-FR"/>
    </w:rPr>
  </w:style>
  <w:style w:type="character" w:customStyle="1" w:styleId="TableheadChar">
    <w:name w:val="Table_head Char"/>
    <w:link w:val="Tablehead"/>
    <w:locked/>
    <w:rsid w:val="00955924"/>
    <w:rPr>
      <w:rFonts w:ascii="Arial Bold" w:eastAsia="Times New Roman" w:hAnsi="Arial Bold"/>
      <w:b/>
      <w:sz w:val="18"/>
      <w:lang w:val="fr-FR" w:eastAsia="en-US"/>
    </w:rPr>
  </w:style>
  <w:style w:type="paragraph" w:styleId="NoSpacing">
    <w:name w:val="No Spacing"/>
    <w:uiPriority w:val="1"/>
    <w:qFormat/>
    <w:rsid w:val="00CB2752"/>
    <w:rPr>
      <w:rFonts w:asciiTheme="minorHAnsi" w:eastAsiaTheme="minorHAnsi" w:hAnsiTheme="minorHAnsi" w:cstheme="minorBidi"/>
      <w:sz w:val="22"/>
      <w:szCs w:val="22"/>
      <w:lang w:val="en-US" w:eastAsia="en-US"/>
    </w:rPr>
  </w:style>
  <w:style w:type="paragraph" w:styleId="Caption">
    <w:name w:val="caption"/>
    <w:basedOn w:val="Normal"/>
    <w:next w:val="Normal"/>
    <w:uiPriority w:val="35"/>
    <w:unhideWhenUsed/>
    <w:qFormat/>
    <w:rsid w:val="00CB2752"/>
    <w:pPr>
      <w:spacing w:line="240" w:lineRule="auto"/>
    </w:pPr>
    <w:rPr>
      <w:rFonts w:ascii="Arial" w:hAnsi="Arial"/>
      <w:b/>
      <w:bCs/>
      <w:color w:val="4472C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dms_pub/itu-r/md/19/wp5a/c/R19-WP5A-C-0359!N18!MSW-E.docx" TargetMode="External"/><Relationship Id="rId1" Type="http://schemas.openxmlformats.org/officeDocument/2006/relationships/hyperlink" Target="https://www.itu.int/dms_pub/itu-r/md/19/wp5a/c/R19-WP5A-C-0359!N18!MSW-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57DB4-821E-8442-B3EE-FB243D0F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2267</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KeziasMwale</dc:creator>
  <cp:keywords/>
  <cp:lastModifiedBy>Gababo</cp:lastModifiedBy>
  <cp:revision>2</cp:revision>
  <dcterms:created xsi:type="dcterms:W3CDTF">2021-08-13T14:46:00Z</dcterms:created>
  <dcterms:modified xsi:type="dcterms:W3CDTF">2021-08-13T14:46:00Z</dcterms:modified>
</cp:coreProperties>
</file>